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B13E35" w14:textId="77777777" w:rsidR="003B48F3" w:rsidRDefault="007367B0" w:rsidP="007F7AC4">
      <w:pPr>
        <w:pStyle w:val="Rubrik1"/>
      </w:pPr>
      <w:bookmarkStart w:id="0" w:name="_GoBack"/>
      <w:bookmarkEnd w:id="0"/>
      <w:r>
        <w:t>Kommentarer till b</w:t>
      </w:r>
      <w:r w:rsidR="00111230">
        <w:t xml:space="preserve">etänkande </w:t>
      </w:r>
      <w:r w:rsidR="00766FEB">
        <w:t>SOU 2014:58 Privat införsel av alkohol</w:t>
      </w:r>
      <w:r w:rsidR="006A5FF3">
        <w:t xml:space="preserve"> </w:t>
      </w:r>
    </w:p>
    <w:p w14:paraId="6BAC361E" w14:textId="77777777" w:rsidR="00A40B0C" w:rsidRDefault="00A40B0C" w:rsidP="00A40B0C">
      <w:pPr>
        <w:pStyle w:val="Rubrik2"/>
      </w:pPr>
      <w:r>
        <w:t>Sammanfattning</w:t>
      </w:r>
    </w:p>
    <w:p w14:paraId="48A505F3" w14:textId="77777777" w:rsidR="001771F7" w:rsidRDefault="00A40B0C" w:rsidP="00A40B0C">
      <w:pPr>
        <w:rPr>
          <w:rFonts w:ascii="Georgia" w:hAnsi="Georgia"/>
        </w:rPr>
      </w:pPr>
      <w:r>
        <w:rPr>
          <w:rFonts w:ascii="Georgia" w:hAnsi="Georgia"/>
        </w:rPr>
        <w:t>Betänkandet tar förtjänstfullt upp begränsningen av vinstintresset som en av de grundläggande principerna i svensk alkoholpolitik. Detta är det grundläggande skälet till detaljhandels</w:t>
      </w:r>
      <w:r>
        <w:rPr>
          <w:rFonts w:ascii="Georgia" w:hAnsi="Georgia"/>
        </w:rPr>
        <w:softHyphen/>
        <w:t xml:space="preserve">monopolets existens i Sverige och utredningen pekar på den omfattande forskning som visar att detta är effektivt för att begränsa alkoholkonsumtion och </w:t>
      </w:r>
      <w:proofErr w:type="gramStart"/>
      <w:r>
        <w:rPr>
          <w:rFonts w:ascii="Georgia" w:hAnsi="Georgia"/>
        </w:rPr>
        <w:t>–skador</w:t>
      </w:r>
      <w:proofErr w:type="gramEnd"/>
      <w:r>
        <w:rPr>
          <w:rFonts w:ascii="Georgia" w:hAnsi="Georgia"/>
        </w:rPr>
        <w:t xml:space="preserve">. </w:t>
      </w:r>
      <w:r w:rsidR="007D7817">
        <w:rPr>
          <w:rFonts w:ascii="Georgia" w:hAnsi="Georgia"/>
        </w:rPr>
        <w:t>Utredningen pekar också på att det ur EU-rättslig synpunkt är viktigt att alkoholpolitiken systematiskt och konsekvent skyddar folkhälsan och därmed inte tillåter verksamhet med privat vinstintresse för försäljning av alkohol till konsument.</w:t>
      </w:r>
      <w:r w:rsidR="001771F7">
        <w:rPr>
          <w:rFonts w:ascii="Georgia" w:hAnsi="Georgia"/>
        </w:rPr>
        <w:t xml:space="preserve"> </w:t>
      </w:r>
    </w:p>
    <w:p w14:paraId="7DE2083A" w14:textId="77777777" w:rsidR="00D97A44" w:rsidRDefault="001771F7" w:rsidP="00A40B0C">
      <w:pPr>
        <w:rPr>
          <w:rFonts w:ascii="Georgia" w:hAnsi="Georgia"/>
        </w:rPr>
      </w:pPr>
      <w:r>
        <w:rPr>
          <w:rFonts w:ascii="Georgia" w:hAnsi="Georgia"/>
        </w:rPr>
        <w:t>Det är därför nödvändigt att Sverige förtydligar sin lagstiftning för att skydda detaljhandels</w:t>
      </w:r>
      <w:r>
        <w:rPr>
          <w:rFonts w:ascii="Georgia" w:hAnsi="Georgia"/>
        </w:rPr>
        <w:softHyphen/>
        <w:t>monopolet och folkhälsan, på liknande sätt som Finland och Norge har gjor</w:t>
      </w:r>
      <w:r w:rsidR="00D11C1A">
        <w:rPr>
          <w:rFonts w:ascii="Georgia" w:hAnsi="Georgia"/>
        </w:rPr>
        <w:t xml:space="preserve">t, efter att EU-domstolen avskaffat förbudet mot privatimport av alkohol. </w:t>
      </w:r>
    </w:p>
    <w:p w14:paraId="636287D0" w14:textId="77777777" w:rsidR="003069D5" w:rsidRDefault="00D97A44" w:rsidP="00A40B0C">
      <w:pPr>
        <w:rPr>
          <w:rFonts w:ascii="Georgia" w:hAnsi="Georgia"/>
        </w:rPr>
      </w:pPr>
      <w:r>
        <w:rPr>
          <w:rFonts w:ascii="Georgia" w:hAnsi="Georgia"/>
        </w:rPr>
        <w:t>Många av utredningens förslag är därför välkomna och bör genomföras snarast.</w:t>
      </w:r>
      <w:r w:rsidR="00A10E62">
        <w:rPr>
          <w:rFonts w:ascii="Georgia" w:hAnsi="Georgia"/>
        </w:rPr>
        <w:t xml:space="preserve"> </w:t>
      </w:r>
      <w:r w:rsidR="00E5675D">
        <w:rPr>
          <w:rFonts w:ascii="Georgia" w:hAnsi="Georgia"/>
        </w:rPr>
        <w:t>Det gäller särskilt förslaget om förbud mot kommersiellt främjande av privatimport. Ett liknande förslag framfördes av Alkohollagsutredningen 2009. Förslaget liknar främjandeförbudet i svensk spel</w:t>
      </w:r>
      <w:r w:rsidR="003A3024">
        <w:rPr>
          <w:rFonts w:ascii="Georgia" w:hAnsi="Georgia"/>
        </w:rPr>
        <w:t>-lagstiftning som inte bara har accepterats av EU-domstolen</w:t>
      </w:r>
      <w:r w:rsidR="001771F7">
        <w:rPr>
          <w:rFonts w:ascii="Georgia" w:hAnsi="Georgia"/>
        </w:rPr>
        <w:t xml:space="preserve"> </w:t>
      </w:r>
      <w:r w:rsidR="003A3024">
        <w:rPr>
          <w:rFonts w:ascii="Georgia" w:hAnsi="Georgia"/>
        </w:rPr>
        <w:t xml:space="preserve">utan också är en förutsättning för att det svenska spelmonopolet ska vara förenligt med EU-rätten. </w:t>
      </w:r>
    </w:p>
    <w:p w14:paraId="56012262" w14:textId="77777777" w:rsidR="00A40B0C" w:rsidRPr="00A40B0C" w:rsidRDefault="00BB3498" w:rsidP="00A40B0C">
      <w:pPr>
        <w:rPr>
          <w:rFonts w:ascii="Georgia" w:hAnsi="Georgia"/>
        </w:rPr>
      </w:pPr>
      <w:r>
        <w:rPr>
          <w:rFonts w:ascii="Georgia" w:hAnsi="Georgia"/>
        </w:rPr>
        <w:t xml:space="preserve">Men det </w:t>
      </w:r>
      <w:r>
        <w:rPr>
          <w:rFonts w:ascii="Georgia" w:hAnsi="Georgia"/>
          <w:u w:val="single"/>
        </w:rPr>
        <w:t xml:space="preserve">stora </w:t>
      </w:r>
      <w:proofErr w:type="gramStart"/>
      <w:r>
        <w:rPr>
          <w:rFonts w:ascii="Georgia" w:hAnsi="Georgia"/>
          <w:u w:val="single"/>
        </w:rPr>
        <w:t xml:space="preserve">problemet </w:t>
      </w:r>
      <w:r>
        <w:rPr>
          <w:rFonts w:ascii="Georgia" w:hAnsi="Georgia"/>
        </w:rPr>
        <w:t xml:space="preserve">  är</w:t>
      </w:r>
      <w:proofErr w:type="gramEnd"/>
      <w:r>
        <w:rPr>
          <w:rFonts w:ascii="Georgia" w:hAnsi="Georgia"/>
        </w:rPr>
        <w:t xml:space="preserve"> u</w:t>
      </w:r>
      <w:r w:rsidR="003069D5">
        <w:rPr>
          <w:rFonts w:ascii="Georgia" w:hAnsi="Georgia"/>
        </w:rPr>
        <w:t>tredningens förslag om att utländska säljare ska undantas från förbudet mot kommersiellt främja</w:t>
      </w:r>
      <w:r>
        <w:rPr>
          <w:rFonts w:ascii="Georgia" w:hAnsi="Georgia"/>
        </w:rPr>
        <w:t>nde. Detta förslag rycker undan grunden för de övriga positiva förslagen.  Förslaget om utländska säljare möjliggör</w:t>
      </w:r>
      <w:r w:rsidR="003069D5">
        <w:rPr>
          <w:rFonts w:ascii="Georgia" w:hAnsi="Georgia"/>
        </w:rPr>
        <w:t xml:space="preserve"> just de verksamheter som utredningens förslag i övrigt vill st</w:t>
      </w:r>
      <w:r>
        <w:rPr>
          <w:rFonts w:ascii="Georgia" w:hAnsi="Georgia"/>
        </w:rPr>
        <w:t xml:space="preserve">oppa.  Detta förslag kan också EU-rättsligt riskera den svenska </w:t>
      </w:r>
      <w:r w:rsidR="003069D5">
        <w:rPr>
          <w:rFonts w:ascii="Georgia" w:hAnsi="Georgia"/>
        </w:rPr>
        <w:t xml:space="preserve">alkoholpolitiska </w:t>
      </w:r>
      <w:r>
        <w:rPr>
          <w:rFonts w:ascii="Georgia" w:hAnsi="Georgia"/>
        </w:rPr>
        <w:t>lagstiftningen</w:t>
      </w:r>
      <w:r w:rsidR="003069D5">
        <w:rPr>
          <w:rFonts w:ascii="Georgia" w:hAnsi="Georgia"/>
        </w:rPr>
        <w:t xml:space="preserve">. Utländska säljare bör därför också omfattas av främjandeförbudet på samma sätt som i spellagstiftningen. </w:t>
      </w:r>
      <w:r w:rsidR="001771F7">
        <w:rPr>
          <w:rFonts w:ascii="Georgia" w:hAnsi="Georgia"/>
        </w:rPr>
        <w:t xml:space="preserve"> </w:t>
      </w:r>
      <w:r w:rsidR="007D7817">
        <w:rPr>
          <w:rFonts w:ascii="Georgia" w:hAnsi="Georgia"/>
        </w:rPr>
        <w:t xml:space="preserve"> </w:t>
      </w:r>
    </w:p>
    <w:p w14:paraId="0490F20E" w14:textId="77777777" w:rsidR="00A40B0C" w:rsidRPr="00A40B0C" w:rsidRDefault="00A40B0C" w:rsidP="00A40B0C">
      <w:pPr>
        <w:pStyle w:val="Rubrik2"/>
      </w:pPr>
      <w:r>
        <w:t>Bakgrund</w:t>
      </w:r>
    </w:p>
    <w:p w14:paraId="47A2BE81" w14:textId="77777777" w:rsidR="009E5B29" w:rsidRPr="009E5B29" w:rsidRDefault="009E5B29" w:rsidP="009E5B29">
      <w:pPr>
        <w:rPr>
          <w:rFonts w:ascii="Georgia" w:hAnsi="Georgia"/>
        </w:rPr>
      </w:pPr>
      <w:r w:rsidRPr="009E5B29">
        <w:rPr>
          <w:rFonts w:ascii="Georgia" w:hAnsi="Georgia"/>
        </w:rPr>
        <w:t xml:space="preserve">E-handeln med alkohol och Jörgen </w:t>
      </w:r>
      <w:proofErr w:type="spellStart"/>
      <w:r w:rsidRPr="009E5B29">
        <w:rPr>
          <w:rFonts w:ascii="Georgia" w:hAnsi="Georgia"/>
        </w:rPr>
        <w:t>Hettnes</w:t>
      </w:r>
      <w:proofErr w:type="spellEnd"/>
      <w:r w:rsidRPr="009E5B29">
        <w:rPr>
          <w:rFonts w:ascii="Georgia" w:hAnsi="Georgia"/>
        </w:rPr>
        <w:t xml:space="preserve"> utredning som presenterades den 9</w:t>
      </w:r>
      <w:r w:rsidR="00A40B0C">
        <w:rPr>
          <w:rFonts w:ascii="Georgia" w:hAnsi="Georgia"/>
        </w:rPr>
        <w:t xml:space="preserve"> juli i år</w:t>
      </w:r>
      <w:r w:rsidRPr="009E5B29">
        <w:rPr>
          <w:rFonts w:ascii="Georgia" w:hAnsi="Georgia"/>
        </w:rPr>
        <w:t xml:space="preserve"> illustrerar en ny fas i en gammal motsättning mellan enskilda kommersiella intressen och det kollektiva intresset att begränsa alkoholens negativa effekter. Senare års alkoholforskning, såväl sociologisk, psykologisk som neurobiologisk, stärker skälen för en restriktiv reglering av alkoholen.  Information och marknadsföring av alkohol, liksom ökad tillgänglighet, triggar hos genetiskt och fysiologiskt sårbara konsumenter, i högre grad än för normalkonsumenter, ett starkt alkoholbegär och ökad risk för skadligt drickande. Utan aktiv alkoholpolitik drabbas den mer sårbara konsumenten av den mindre sårbara konsumentens vanor. Detta är ett starkt skäl för att begränsa alkoholens tillgänglighet i allmänhet och att förbjuda all form av alkoholreklam i synnerhet. </w:t>
      </w:r>
    </w:p>
    <w:p w14:paraId="49733647" w14:textId="77777777" w:rsidR="009E5B29" w:rsidRPr="009E5B29" w:rsidRDefault="009E5B29" w:rsidP="009E5B29">
      <w:pPr>
        <w:rPr>
          <w:rFonts w:ascii="Georgia" w:hAnsi="Georgia"/>
        </w:rPr>
      </w:pPr>
      <w:r w:rsidRPr="009E5B29">
        <w:rPr>
          <w:rFonts w:ascii="Georgia" w:hAnsi="Georgia"/>
        </w:rPr>
        <w:t xml:space="preserve">Effekter på andra än den som dricker, så kallad tredje part, är också ett starkt argument för restriktioner. Att dricka alkohol, och i synnerhet att berusa sig, är i ett upplyst samhälle inte den enskildes ensak. Dels finns de välkända konsekvenserna för människor i alkoholkonsumentens omgivning, bl.a. i form av trafikolyckor, våldsbrott och fosterskador, dels leder storkonsumentens drickande till kostnader som får bäras av det omgivande samhället. </w:t>
      </w:r>
    </w:p>
    <w:p w14:paraId="63F60C58" w14:textId="77777777" w:rsidR="009E5B29" w:rsidRPr="009E5B29" w:rsidRDefault="009E5B29" w:rsidP="009E5B29">
      <w:pPr>
        <w:rPr>
          <w:rFonts w:ascii="Georgia" w:hAnsi="Georgia"/>
        </w:rPr>
      </w:pPr>
      <w:r w:rsidRPr="009E5B29">
        <w:rPr>
          <w:rFonts w:ascii="Georgia" w:hAnsi="Georgia"/>
        </w:rPr>
        <w:t xml:space="preserve">Den sammanfattande slutsatsen av internationell alkoholforskning är – inte överraskande – att ekonomins lagar också gäller för alkohol. Ökad tillgänglighet, mer marknadsföring och lägre pris innebär högre konsumtion och mer skador. </w:t>
      </w:r>
    </w:p>
    <w:p w14:paraId="714481E7" w14:textId="77777777" w:rsidR="008A09F9" w:rsidRDefault="008A09F9" w:rsidP="009E5B29">
      <w:pPr>
        <w:rPr>
          <w:rFonts w:ascii="Georgia" w:hAnsi="Georgia"/>
        </w:rPr>
      </w:pPr>
    </w:p>
    <w:p w14:paraId="6C38775F" w14:textId="77777777" w:rsidR="009E5B29" w:rsidRPr="009E5B29" w:rsidRDefault="009E5B29" w:rsidP="009E5B29">
      <w:pPr>
        <w:rPr>
          <w:rFonts w:ascii="Georgia" w:hAnsi="Georgia"/>
        </w:rPr>
      </w:pPr>
      <w:r w:rsidRPr="009E5B29">
        <w:rPr>
          <w:rFonts w:ascii="Georgia" w:hAnsi="Georgia"/>
        </w:rPr>
        <w:t xml:space="preserve">Det enskilt viktigaste alkoholpolitiska instrumentet som reglerar den fysiska tillgängligheten i Sverige är Systembolagets detaljhandelsmonopol. Såväl svensk som internationell monopolforskning finner otvetydigt att statliga icke-vinstdrivande monopol minskar såväl konsumtion som alkoholskador, vilket också </w:t>
      </w:r>
      <w:proofErr w:type="spellStart"/>
      <w:r w:rsidRPr="009E5B29">
        <w:rPr>
          <w:rFonts w:ascii="Georgia" w:hAnsi="Georgia"/>
        </w:rPr>
        <w:t>Hettnes</w:t>
      </w:r>
      <w:proofErr w:type="spellEnd"/>
      <w:r w:rsidRPr="009E5B29">
        <w:rPr>
          <w:rFonts w:ascii="Georgia" w:hAnsi="Georgia"/>
        </w:rPr>
        <w:t xml:space="preserve"> utredning konstaterar. </w:t>
      </w:r>
    </w:p>
    <w:p w14:paraId="4D486C79" w14:textId="77777777" w:rsidR="009E5B29" w:rsidRPr="009E5B29" w:rsidRDefault="009E5B29" w:rsidP="009E5B29">
      <w:pPr>
        <w:rPr>
          <w:rFonts w:ascii="Georgia" w:hAnsi="Georgia"/>
        </w:rPr>
      </w:pPr>
      <w:r w:rsidRPr="009E5B29">
        <w:rPr>
          <w:rFonts w:ascii="Georgia" w:hAnsi="Georgia"/>
        </w:rPr>
        <w:t xml:space="preserve">Det är därför anmärkningsvärt att det återkommande lanseras förslag som undergräver Systembolagets monopol och som på sikt skulle kunna leda till dess avskaffande. Den nu aktuella frågan om e-handel med alkohol är ett allvarligt hot mot den solidariska alkoholpolitiken. Att privatpersoner har möjlighet att fritt importera alkohol för personligt bruk är inte så mycket att orda om. Problemet har varit den stora grupp av kommersiella aktörer som vuxit upp och som nu i praktiken bedriver detaljhandel med alkohol.  De har kunnat utnyttjar en otydlig lagstiftning som inte hängt med när nya försäljningskanaler har uppstått.  Detta är skadligt av två skäl. Om det i Sverige i själva verket finns ett stort antal företag som bedriver detaljhandel med alkohol försvagas det EU-rättsliga motivet för Systembolagets monopol. Därtill undergrävs legitimiteten för alkoholmonopolet när ett antal företag beskriver sig som konkurrenter till Systembolaget. </w:t>
      </w:r>
    </w:p>
    <w:p w14:paraId="6E764CA0" w14:textId="77777777" w:rsidR="00725C57" w:rsidRDefault="00725C57" w:rsidP="00725C57">
      <w:pPr>
        <w:pStyle w:val="Rubrik3"/>
      </w:pPr>
      <w:r>
        <w:t xml:space="preserve">Kommentarer till betänkandet om privatinförsel </w:t>
      </w:r>
    </w:p>
    <w:p w14:paraId="4B667AD4" w14:textId="77777777" w:rsidR="00E20798" w:rsidRDefault="009E5B29" w:rsidP="009E5B29">
      <w:pPr>
        <w:rPr>
          <w:rFonts w:ascii="Georgia" w:hAnsi="Georgia"/>
        </w:rPr>
      </w:pPr>
      <w:r w:rsidRPr="009E5B29">
        <w:rPr>
          <w:rFonts w:ascii="Georgia" w:hAnsi="Georgia"/>
        </w:rPr>
        <w:t xml:space="preserve">Det är mycket </w:t>
      </w:r>
      <w:r w:rsidRPr="007E0D9D">
        <w:rPr>
          <w:rFonts w:ascii="Georgia" w:hAnsi="Georgia"/>
          <w:u w:val="single"/>
        </w:rPr>
        <w:t>positivt</w:t>
      </w:r>
      <w:r w:rsidRPr="009E5B29">
        <w:rPr>
          <w:rFonts w:ascii="Georgia" w:hAnsi="Georgia"/>
        </w:rPr>
        <w:t xml:space="preserve"> att </w:t>
      </w:r>
      <w:r w:rsidR="00725C57">
        <w:rPr>
          <w:rFonts w:ascii="Georgia" w:hAnsi="Georgia"/>
        </w:rPr>
        <w:t>u</w:t>
      </w:r>
      <w:r w:rsidRPr="009E5B29">
        <w:rPr>
          <w:rFonts w:ascii="Georgia" w:hAnsi="Georgia"/>
        </w:rPr>
        <w:t>tredning</w:t>
      </w:r>
      <w:r w:rsidR="00725C57">
        <w:rPr>
          <w:rFonts w:ascii="Georgia" w:hAnsi="Georgia"/>
        </w:rPr>
        <w:t>en</w:t>
      </w:r>
      <w:r w:rsidRPr="009E5B29">
        <w:rPr>
          <w:rFonts w:ascii="Georgia" w:hAnsi="Georgia"/>
        </w:rPr>
        <w:t xml:space="preserve"> kommer med en rad förslag för att bromsa utvecklingen.</w:t>
      </w:r>
      <w:r w:rsidR="00E20798">
        <w:rPr>
          <w:rFonts w:ascii="Georgia" w:hAnsi="Georgia"/>
        </w:rPr>
        <w:t xml:space="preserve"> Viktiga förslag som bör genomföras snarast är</w:t>
      </w:r>
    </w:p>
    <w:p w14:paraId="3582F5A7" w14:textId="77777777" w:rsidR="00E20798" w:rsidRDefault="00E20798" w:rsidP="00E20798">
      <w:pPr>
        <w:pStyle w:val="Liststycke"/>
        <w:numPr>
          <w:ilvl w:val="0"/>
          <w:numId w:val="2"/>
        </w:numPr>
        <w:rPr>
          <w:rFonts w:ascii="Georgia" w:hAnsi="Georgia"/>
        </w:rPr>
      </w:pPr>
      <w:r>
        <w:rPr>
          <w:rFonts w:ascii="Georgia" w:hAnsi="Georgia"/>
        </w:rPr>
        <w:t>Förbud mot kommersiellt främjande av privatimport</w:t>
      </w:r>
    </w:p>
    <w:p w14:paraId="7C16CAF3" w14:textId="77777777" w:rsidR="00E20798" w:rsidRDefault="00E20798" w:rsidP="00E20798">
      <w:pPr>
        <w:pStyle w:val="Liststycke"/>
        <w:numPr>
          <w:ilvl w:val="0"/>
          <w:numId w:val="2"/>
        </w:numPr>
        <w:rPr>
          <w:rFonts w:ascii="Georgia" w:hAnsi="Georgia"/>
        </w:rPr>
      </w:pPr>
      <w:r>
        <w:rPr>
          <w:rFonts w:ascii="Georgia" w:hAnsi="Georgia"/>
        </w:rPr>
        <w:t>Att enbart transportörer får hantera privatimporterad alkohol i Sverige i och med att begreppet ”annan oberoende mellanhand” tas bort ur bestämmelserna om privatimport</w:t>
      </w:r>
    </w:p>
    <w:p w14:paraId="1174D0D4" w14:textId="77777777" w:rsidR="00E20798" w:rsidRDefault="00E20798" w:rsidP="00E20798">
      <w:pPr>
        <w:pStyle w:val="Liststycke"/>
        <w:numPr>
          <w:ilvl w:val="0"/>
          <w:numId w:val="2"/>
        </w:numPr>
        <w:rPr>
          <w:rFonts w:ascii="Georgia" w:hAnsi="Georgia"/>
        </w:rPr>
      </w:pPr>
      <w:r>
        <w:rPr>
          <w:rFonts w:ascii="Georgia" w:hAnsi="Georgia"/>
        </w:rPr>
        <w:t>Att transportören ska vara oberoende av säljaren</w:t>
      </w:r>
    </w:p>
    <w:p w14:paraId="497C14EE" w14:textId="77777777" w:rsidR="00E20798" w:rsidRPr="00E20798" w:rsidRDefault="00E20798" w:rsidP="00E20798">
      <w:pPr>
        <w:pStyle w:val="Liststycke"/>
        <w:numPr>
          <w:ilvl w:val="0"/>
          <w:numId w:val="2"/>
        </w:numPr>
        <w:rPr>
          <w:rFonts w:ascii="Georgia" w:hAnsi="Georgia"/>
        </w:rPr>
      </w:pPr>
      <w:r>
        <w:rPr>
          <w:rFonts w:ascii="Georgia" w:hAnsi="Georgia"/>
        </w:rPr>
        <w:t>Att yrkesmässiga transportörer</w:t>
      </w:r>
      <w:r w:rsidR="006F376C">
        <w:rPr>
          <w:rFonts w:ascii="Georgia" w:hAnsi="Georgia"/>
        </w:rPr>
        <w:t xml:space="preserve"> av privatimporterad alkohol</w:t>
      </w:r>
      <w:r>
        <w:rPr>
          <w:rFonts w:ascii="Georgia" w:hAnsi="Georgia"/>
        </w:rPr>
        <w:t xml:space="preserve"> ska anmäla sin verksamhet</w:t>
      </w:r>
      <w:r w:rsidR="006F376C">
        <w:rPr>
          <w:rFonts w:ascii="Georgia" w:hAnsi="Georgia"/>
        </w:rPr>
        <w:t xml:space="preserve"> så att möjligheterna till tillsyn förbättras</w:t>
      </w:r>
    </w:p>
    <w:p w14:paraId="383BC5FA" w14:textId="77777777" w:rsidR="009E5B29" w:rsidRPr="009E5B29" w:rsidRDefault="006F376C" w:rsidP="009E5B29">
      <w:pPr>
        <w:rPr>
          <w:rFonts w:ascii="Georgia" w:hAnsi="Georgia"/>
        </w:rPr>
      </w:pPr>
      <w:r>
        <w:rPr>
          <w:rFonts w:ascii="Georgia" w:hAnsi="Georgia"/>
        </w:rPr>
        <w:t>Förslagen ovan, särskilt förbudet mot kommersiellt främjande,</w:t>
      </w:r>
      <w:r w:rsidR="009E5B29" w:rsidRPr="009E5B29">
        <w:rPr>
          <w:rFonts w:ascii="Georgia" w:hAnsi="Georgia"/>
        </w:rPr>
        <w:t xml:space="preserve"> skulle stoppa alla de verksamheter som idag har vuxit fram i Sverige som en förtäckt detaljhandel. Till exempel så kallade vinklubbar och försäljning och leverans genom livsmedelshandlare på nätet. </w:t>
      </w:r>
    </w:p>
    <w:p w14:paraId="6826E7A7" w14:textId="77777777" w:rsidR="006F376C" w:rsidRDefault="007E0D9D" w:rsidP="009E5B29">
      <w:pPr>
        <w:rPr>
          <w:rFonts w:ascii="Georgia" w:hAnsi="Georgia"/>
        </w:rPr>
      </w:pPr>
      <w:r>
        <w:rPr>
          <w:rFonts w:ascii="Georgia" w:hAnsi="Georgia"/>
        </w:rPr>
        <w:t xml:space="preserve">Det </w:t>
      </w:r>
      <w:r>
        <w:rPr>
          <w:rFonts w:ascii="Georgia" w:hAnsi="Georgia"/>
          <w:u w:val="single"/>
        </w:rPr>
        <w:t xml:space="preserve">negativa </w:t>
      </w:r>
      <w:r>
        <w:rPr>
          <w:rFonts w:ascii="Georgia" w:hAnsi="Georgia"/>
        </w:rPr>
        <w:t>med</w:t>
      </w:r>
      <w:r w:rsidR="006F376C">
        <w:rPr>
          <w:rFonts w:ascii="Georgia" w:hAnsi="Georgia"/>
        </w:rPr>
        <w:t xml:space="preserve"> utredningen</w:t>
      </w:r>
      <w:r w:rsidR="009E5B29" w:rsidRPr="009E5B29">
        <w:rPr>
          <w:rFonts w:ascii="Georgia" w:hAnsi="Georgia"/>
        </w:rPr>
        <w:t xml:space="preserve"> </w:t>
      </w:r>
      <w:r>
        <w:rPr>
          <w:rFonts w:ascii="Georgia" w:hAnsi="Georgia"/>
        </w:rPr>
        <w:t xml:space="preserve">är </w:t>
      </w:r>
      <w:proofErr w:type="gramStart"/>
      <w:r>
        <w:rPr>
          <w:rFonts w:ascii="Georgia" w:hAnsi="Georgia"/>
        </w:rPr>
        <w:t>att  man</w:t>
      </w:r>
      <w:proofErr w:type="gramEnd"/>
      <w:r>
        <w:rPr>
          <w:rFonts w:ascii="Georgia" w:hAnsi="Georgia"/>
        </w:rPr>
        <w:t xml:space="preserve"> </w:t>
      </w:r>
      <w:r w:rsidR="009E5B29" w:rsidRPr="009E5B29">
        <w:rPr>
          <w:rFonts w:ascii="Georgia" w:hAnsi="Georgia"/>
        </w:rPr>
        <w:t>för</w:t>
      </w:r>
      <w:r w:rsidR="006F376C">
        <w:rPr>
          <w:rFonts w:ascii="Georgia" w:hAnsi="Georgia"/>
        </w:rPr>
        <w:t>e</w:t>
      </w:r>
      <w:r w:rsidR="009E5B29" w:rsidRPr="009E5B29">
        <w:rPr>
          <w:rFonts w:ascii="Georgia" w:hAnsi="Georgia"/>
        </w:rPr>
        <w:t>sl</w:t>
      </w:r>
      <w:r>
        <w:rPr>
          <w:rFonts w:ascii="Georgia" w:hAnsi="Georgia"/>
        </w:rPr>
        <w:t xml:space="preserve">år </w:t>
      </w:r>
      <w:r w:rsidR="006F376C">
        <w:rPr>
          <w:rFonts w:ascii="Georgia" w:hAnsi="Georgia"/>
        </w:rPr>
        <w:t xml:space="preserve"> </w:t>
      </w:r>
      <w:r w:rsidR="009E5B29" w:rsidRPr="009E5B29">
        <w:rPr>
          <w:rFonts w:ascii="Georgia" w:hAnsi="Georgia"/>
        </w:rPr>
        <w:t>att</w:t>
      </w:r>
      <w:r>
        <w:rPr>
          <w:rFonts w:ascii="Georgia" w:hAnsi="Georgia"/>
        </w:rPr>
        <w:t xml:space="preserve"> </w:t>
      </w:r>
      <w:r w:rsidR="009E5B29" w:rsidRPr="009E5B29">
        <w:rPr>
          <w:rFonts w:ascii="Georgia" w:hAnsi="Georgia"/>
        </w:rPr>
        <w:t xml:space="preserve"> utländska säljare inte </w:t>
      </w:r>
      <w:r w:rsidR="006F376C">
        <w:rPr>
          <w:rFonts w:ascii="Georgia" w:hAnsi="Georgia"/>
        </w:rPr>
        <w:t xml:space="preserve">ska </w:t>
      </w:r>
      <w:r w:rsidR="009E5B29" w:rsidRPr="009E5B29">
        <w:rPr>
          <w:rFonts w:ascii="Georgia" w:hAnsi="Georgia"/>
        </w:rPr>
        <w:t>omfattas av förbudet mot kommersiellt främjande</w:t>
      </w:r>
      <w:r w:rsidR="006F376C">
        <w:rPr>
          <w:rFonts w:ascii="Georgia" w:hAnsi="Georgia"/>
        </w:rPr>
        <w:t>. Detta</w:t>
      </w:r>
      <w:r>
        <w:rPr>
          <w:rFonts w:ascii="Georgia" w:hAnsi="Georgia"/>
        </w:rPr>
        <w:t xml:space="preserve"> rycker helt undan grunden för utredningens i övrigt positiva förslag</w:t>
      </w:r>
      <w:r w:rsidR="009E5B29" w:rsidRPr="009E5B29">
        <w:rPr>
          <w:rFonts w:ascii="Georgia" w:hAnsi="Georgia"/>
        </w:rPr>
        <w:t xml:space="preserve">. Om utländska företag får en i lagen uttrycklig rätt att anlita svenska företag för marknadsföring och främjande av sin försäljning kommer detta att undergräva just det som utredningen i övrigt försöker uppnå. </w:t>
      </w:r>
      <w:r w:rsidR="0016381B">
        <w:rPr>
          <w:rFonts w:ascii="Georgia" w:hAnsi="Georgia"/>
        </w:rPr>
        <w:t>Ett undantag för utländska säljare bör inte införas i lagstiftningen och främjandeförbudet bör omfatta även dem, på samma sätt som främjandeförbudet i svensk spellagstiftning.</w:t>
      </w:r>
    </w:p>
    <w:p w14:paraId="3791D7B9" w14:textId="77777777" w:rsidR="0016381B" w:rsidRPr="0016381B" w:rsidRDefault="0016381B" w:rsidP="0016381B">
      <w:pPr>
        <w:rPr>
          <w:rFonts w:ascii="Georgia" w:hAnsi="Georgia"/>
        </w:rPr>
      </w:pPr>
      <w:r w:rsidRPr="0016381B">
        <w:rPr>
          <w:rFonts w:ascii="Georgia" w:hAnsi="Georgia"/>
        </w:rPr>
        <w:t xml:space="preserve">I Lotterilagen § 38 finns ett främjandeförbud som lyder </w:t>
      </w:r>
    </w:p>
    <w:p w14:paraId="710D96D1" w14:textId="77777777" w:rsidR="0016381B" w:rsidRPr="0016381B" w:rsidRDefault="0016381B" w:rsidP="0016381B">
      <w:pPr>
        <w:ind w:left="1304" w:hanging="1304"/>
        <w:rPr>
          <w:rFonts w:ascii="Georgia" w:hAnsi="Georgia"/>
        </w:rPr>
      </w:pPr>
      <w:r>
        <w:rPr>
          <w:rFonts w:ascii="Georgia" w:hAnsi="Georgia"/>
        </w:rPr>
        <w:tab/>
      </w:r>
      <w:r w:rsidRPr="0016381B">
        <w:rPr>
          <w:rFonts w:ascii="Georgia" w:hAnsi="Georgia"/>
        </w:rPr>
        <w:t>”38 § Det är inte tillåtet att i yrkesmässig verksamhet eller annars i förvärvssyfte</w:t>
      </w:r>
    </w:p>
    <w:p w14:paraId="315FBC20" w14:textId="77777777" w:rsidR="0016381B" w:rsidRPr="0016381B" w:rsidRDefault="0016381B" w:rsidP="0016381B">
      <w:pPr>
        <w:ind w:left="1304" w:hanging="1304"/>
        <w:rPr>
          <w:rFonts w:ascii="Georgia" w:hAnsi="Georgia"/>
        </w:rPr>
      </w:pPr>
      <w:r>
        <w:rPr>
          <w:rFonts w:ascii="Georgia" w:hAnsi="Georgia"/>
        </w:rPr>
        <w:tab/>
      </w:r>
      <w:r w:rsidRPr="0016381B">
        <w:rPr>
          <w:rFonts w:ascii="Georgia" w:hAnsi="Georgia"/>
        </w:rPr>
        <w:t>1. främja deltagande i ett inom landet anordnat lotteri som inte är tillåtet eller ett utom landet anordnat lotteri,”</w:t>
      </w:r>
    </w:p>
    <w:p w14:paraId="40C0D631" w14:textId="77777777" w:rsidR="00B578E1" w:rsidRDefault="0016381B" w:rsidP="0016381B">
      <w:pPr>
        <w:rPr>
          <w:rFonts w:ascii="Georgia" w:hAnsi="Georgia"/>
        </w:rPr>
      </w:pPr>
      <w:r w:rsidRPr="0016381B">
        <w:rPr>
          <w:rFonts w:ascii="Georgia" w:hAnsi="Georgia"/>
        </w:rPr>
        <w:t xml:space="preserve">Det </w:t>
      </w:r>
      <w:r>
        <w:rPr>
          <w:rFonts w:ascii="Georgia" w:hAnsi="Georgia"/>
        </w:rPr>
        <w:t>h</w:t>
      </w:r>
      <w:r w:rsidRPr="0016381B">
        <w:rPr>
          <w:rFonts w:ascii="Georgia" w:hAnsi="Georgia"/>
        </w:rPr>
        <w:t xml:space="preserve">är </w:t>
      </w:r>
      <w:r>
        <w:rPr>
          <w:rFonts w:ascii="Georgia" w:hAnsi="Georgia"/>
        </w:rPr>
        <w:t>är en parallell till en utom lan</w:t>
      </w:r>
      <w:r w:rsidRPr="0016381B">
        <w:rPr>
          <w:rFonts w:ascii="Georgia" w:hAnsi="Georgia"/>
        </w:rPr>
        <w:t xml:space="preserve">det anordnad </w:t>
      </w:r>
      <w:r>
        <w:rPr>
          <w:rFonts w:ascii="Georgia" w:hAnsi="Georgia"/>
        </w:rPr>
        <w:t xml:space="preserve">försäljning av alkohol och samma bestämmelse bör tillämpas även här. </w:t>
      </w:r>
      <w:r w:rsidR="00B578E1">
        <w:rPr>
          <w:rFonts w:ascii="Georgia" w:hAnsi="Georgia"/>
        </w:rPr>
        <w:t xml:space="preserve">Utredningen beskriver (s 48-49) inte bara att EU-domstolen godkänt det svenska främjandeförbudet för spel utan att det också var en av orsakerna </w:t>
      </w:r>
      <w:r w:rsidR="00B578E1">
        <w:rPr>
          <w:rFonts w:ascii="Georgia" w:hAnsi="Georgia"/>
        </w:rPr>
        <w:lastRenderedPageBreak/>
        <w:t xml:space="preserve">till att domstolen bedömde att det svenska spelmonopolet är i överensstämmelse med EU-rätten till skillnad från den tyska spelregleringen. </w:t>
      </w:r>
    </w:p>
    <w:p w14:paraId="40E5E2FA" w14:textId="77777777" w:rsidR="0016381B" w:rsidRPr="0016381B" w:rsidRDefault="00B578E1" w:rsidP="0016381B">
      <w:pPr>
        <w:rPr>
          <w:rFonts w:ascii="Georgia" w:hAnsi="Georgia"/>
        </w:rPr>
      </w:pPr>
      <w:r>
        <w:rPr>
          <w:rFonts w:ascii="Georgia" w:hAnsi="Georgia"/>
        </w:rPr>
        <w:t>I fallet med den svenska spellagstiftningen fann EU-d</w:t>
      </w:r>
      <w:r w:rsidRPr="00462020">
        <w:rPr>
          <w:rFonts w:ascii="Georgia" w:hAnsi="Georgia"/>
        </w:rPr>
        <w:t xml:space="preserve">omstolen att </w:t>
      </w:r>
      <w:r>
        <w:rPr>
          <w:rFonts w:ascii="Georgia" w:hAnsi="Georgia"/>
        </w:rPr>
        <w:t>främjande</w:t>
      </w:r>
      <w:r w:rsidRPr="00462020">
        <w:rPr>
          <w:rFonts w:ascii="Georgia" w:hAnsi="Georgia"/>
        </w:rPr>
        <w:t>förbudet svarade mot målet att utesluta privata vinstintressen och att förbudet kunde anses nö</w:t>
      </w:r>
      <w:r>
        <w:rPr>
          <w:rFonts w:ascii="Georgia" w:hAnsi="Georgia"/>
        </w:rPr>
        <w:t xml:space="preserve">dvändigt för </w:t>
      </w:r>
      <w:r w:rsidRPr="00462020">
        <w:rPr>
          <w:rFonts w:ascii="Georgia" w:hAnsi="Georgia"/>
        </w:rPr>
        <w:t>att uppnå detta mål.</w:t>
      </w:r>
      <w:r>
        <w:rPr>
          <w:rFonts w:ascii="Georgia" w:hAnsi="Georgia"/>
        </w:rPr>
        <w:t xml:space="preserve"> Som utredningen beskriver kräver EU-rätten att den nationella lagstiftningen är systematisk och sammanhängande för att skydda folkhälsan, där att upprätthålla begränsningen av privat vinstintresse för försäljning av alkohol till konsument är en viktig del. Det är därför viktigt att </w:t>
      </w:r>
      <w:r w:rsidR="00070F00">
        <w:rPr>
          <w:rFonts w:ascii="Georgia" w:hAnsi="Georgia"/>
        </w:rPr>
        <w:t>främjandeförbudet när det gäller privatimport av alkohol utformas på samma sätt som främjandeförbudet för spel.</w:t>
      </w:r>
      <w:r>
        <w:rPr>
          <w:rFonts w:ascii="Georgia" w:hAnsi="Georgia"/>
        </w:rPr>
        <w:t xml:space="preserve"> </w:t>
      </w:r>
    </w:p>
    <w:p w14:paraId="4E416E1B" w14:textId="77777777" w:rsidR="0016381B" w:rsidRPr="0016381B" w:rsidRDefault="00070F00" w:rsidP="0016381B">
      <w:pPr>
        <w:rPr>
          <w:rFonts w:ascii="Georgia" w:hAnsi="Georgia"/>
        </w:rPr>
      </w:pPr>
      <w:r>
        <w:rPr>
          <w:rFonts w:ascii="Georgia" w:hAnsi="Georgia"/>
        </w:rPr>
        <w:t>R</w:t>
      </w:r>
      <w:r w:rsidR="0016381B" w:rsidRPr="0016381B">
        <w:rPr>
          <w:rFonts w:ascii="Georgia" w:hAnsi="Georgia"/>
        </w:rPr>
        <w:t xml:space="preserve">egeringen har </w:t>
      </w:r>
      <w:r>
        <w:rPr>
          <w:rFonts w:ascii="Georgia" w:hAnsi="Georgia"/>
        </w:rPr>
        <w:t xml:space="preserve">i januari i år </w:t>
      </w:r>
      <w:r w:rsidR="0016381B" w:rsidRPr="0016381B">
        <w:rPr>
          <w:rFonts w:ascii="Georgia" w:hAnsi="Georgia"/>
        </w:rPr>
        <w:t xml:space="preserve">tillsatt en utredning </w:t>
      </w:r>
      <w:r w:rsidR="0016381B">
        <w:rPr>
          <w:rFonts w:ascii="Georgia" w:hAnsi="Georgia"/>
        </w:rPr>
        <w:t xml:space="preserve">för att se hur </w:t>
      </w:r>
      <w:r>
        <w:rPr>
          <w:rFonts w:ascii="Georgia" w:hAnsi="Georgia"/>
        </w:rPr>
        <w:t xml:space="preserve">främjandeförbudet i spellagstiftningen </w:t>
      </w:r>
      <w:r w:rsidR="0016381B">
        <w:rPr>
          <w:rFonts w:ascii="Georgia" w:hAnsi="Georgia"/>
        </w:rPr>
        <w:t xml:space="preserve">ska kunna </w:t>
      </w:r>
      <w:r w:rsidR="0016381B" w:rsidRPr="0016381B">
        <w:rPr>
          <w:rFonts w:ascii="Georgia" w:hAnsi="Georgia"/>
        </w:rPr>
        <w:t>förbättras.</w:t>
      </w:r>
      <w:r>
        <w:rPr>
          <w:rStyle w:val="Fotnotsreferens"/>
          <w:rFonts w:ascii="Georgia" w:hAnsi="Georgia"/>
        </w:rPr>
        <w:footnoteReference w:id="1"/>
      </w:r>
      <w:r w:rsidR="0016381B" w:rsidRPr="0016381B">
        <w:rPr>
          <w:rFonts w:ascii="Georgia" w:hAnsi="Georgia"/>
        </w:rPr>
        <w:t xml:space="preserve"> I utredningsdirektivet sägs bland annat:</w:t>
      </w:r>
    </w:p>
    <w:p w14:paraId="3F29E11E" w14:textId="77777777" w:rsidR="0016381B" w:rsidRPr="0016381B" w:rsidRDefault="00070F00" w:rsidP="008A09F9">
      <w:pPr>
        <w:ind w:left="709" w:hanging="1304"/>
        <w:rPr>
          <w:rFonts w:ascii="Georgia" w:hAnsi="Georgia"/>
        </w:rPr>
      </w:pPr>
      <w:r>
        <w:rPr>
          <w:rFonts w:ascii="Georgia" w:hAnsi="Georgia"/>
        </w:rPr>
        <w:tab/>
      </w:r>
      <w:r w:rsidR="0016381B" w:rsidRPr="0016381B">
        <w:rPr>
          <w:rFonts w:ascii="Georgia" w:hAnsi="Georgia"/>
        </w:rPr>
        <w:t>”Främjandeförbudet i 38 § lotterilagen syftar dock bl.a. till att förhin</w:t>
      </w:r>
      <w:r>
        <w:rPr>
          <w:rFonts w:ascii="Georgia" w:hAnsi="Georgia"/>
        </w:rPr>
        <w:t xml:space="preserve">dra att anordnare utan svenskt </w:t>
      </w:r>
      <w:r w:rsidR="0016381B" w:rsidRPr="0016381B">
        <w:rPr>
          <w:rFonts w:ascii="Georgia" w:hAnsi="Georgia"/>
        </w:rPr>
        <w:t>tillstånd marknadsför sig i Sverige. Trots bestämmelsen förekommer en omfattande annonsering för</w:t>
      </w:r>
      <w:r>
        <w:rPr>
          <w:rFonts w:ascii="Georgia" w:hAnsi="Georgia"/>
        </w:rPr>
        <w:t xml:space="preserve"> </w:t>
      </w:r>
      <w:r w:rsidR="0016381B" w:rsidRPr="0016381B">
        <w:rPr>
          <w:rFonts w:ascii="Georgia" w:hAnsi="Georgia"/>
        </w:rPr>
        <w:t>anordnare utan svenska tillstånd i tv, dagspress, radio och genom elektronisk kommunikation. Lotteriinspektionen har förelagt dagstidningar och andra medier att upphöra med publicering av sådana annonser.</w:t>
      </w:r>
    </w:p>
    <w:p w14:paraId="44AE1789" w14:textId="77777777" w:rsidR="0016381B" w:rsidRPr="0016381B" w:rsidRDefault="00070F00" w:rsidP="008A09F9">
      <w:pPr>
        <w:ind w:left="709"/>
        <w:rPr>
          <w:rFonts w:ascii="Georgia" w:hAnsi="Georgia"/>
        </w:rPr>
      </w:pPr>
      <w:r>
        <w:rPr>
          <w:rFonts w:ascii="Georgia" w:hAnsi="Georgia"/>
        </w:rPr>
        <w:tab/>
      </w:r>
      <w:r w:rsidR="0016381B" w:rsidRPr="0016381B">
        <w:rPr>
          <w:rFonts w:ascii="Georgia" w:hAnsi="Georgia"/>
        </w:rPr>
        <w:t>…</w:t>
      </w:r>
    </w:p>
    <w:p w14:paraId="65C9C23A" w14:textId="77777777" w:rsidR="00070F00" w:rsidRDefault="00070F00" w:rsidP="008A09F9">
      <w:pPr>
        <w:ind w:left="709" w:hanging="1304"/>
        <w:rPr>
          <w:rFonts w:ascii="Georgia" w:hAnsi="Georgia"/>
        </w:rPr>
      </w:pPr>
      <w:r>
        <w:rPr>
          <w:rFonts w:ascii="Georgia" w:hAnsi="Georgia"/>
        </w:rPr>
        <w:tab/>
      </w:r>
      <w:r w:rsidR="0016381B" w:rsidRPr="0016381B">
        <w:rPr>
          <w:rFonts w:ascii="Georgia" w:hAnsi="Georgia"/>
        </w:rPr>
        <w:t>Det är nödvändigt att även fortsättningsvis kombinera förbudslagstift</w:t>
      </w:r>
      <w:r>
        <w:rPr>
          <w:rFonts w:ascii="Georgia" w:hAnsi="Georgia"/>
        </w:rPr>
        <w:t xml:space="preserve">ningen med ett främjandeförbud </w:t>
      </w:r>
      <w:r w:rsidR="0016381B" w:rsidRPr="0016381B">
        <w:rPr>
          <w:rFonts w:ascii="Georgia" w:hAnsi="Georgia"/>
        </w:rPr>
        <w:t>som så långt som möjligt bidrar till att motverka att det inom landet förekommer spel om pengar som saknar lagstöd. Mot bakgrund av den rättspraxis som redovisas ovan måste det övervägas hur marknadsföring från aktörer utan svenskt tillstånd ska kunna kontrolleras och åläggas sanktioner.”</w:t>
      </w:r>
    </w:p>
    <w:p w14:paraId="082D14A6" w14:textId="77777777" w:rsidR="00070F00" w:rsidRDefault="00DC0D75" w:rsidP="00A40B0C">
      <w:pPr>
        <w:rPr>
          <w:rFonts w:ascii="Georgia" w:hAnsi="Georgia"/>
        </w:rPr>
      </w:pPr>
      <w:r>
        <w:rPr>
          <w:rFonts w:ascii="Georgia" w:hAnsi="Georgia"/>
        </w:rPr>
        <w:t>Samma resonemang är giltigt även för främjande av privatimport av alkohol och det framstår därför som nödvändigt att främjandeförbudet på alkoholområdet utformas på samma sätt som för spelområdet.</w:t>
      </w:r>
    </w:p>
    <w:p w14:paraId="447DD528" w14:textId="77777777" w:rsidR="0047353A" w:rsidRDefault="0047353A" w:rsidP="0047353A">
      <w:pPr>
        <w:pStyle w:val="Rubrik3"/>
      </w:pPr>
      <w:r>
        <w:t>Norge och Finland som exempel</w:t>
      </w:r>
    </w:p>
    <w:p w14:paraId="2A6749DB" w14:textId="77777777" w:rsidR="00A40B0C" w:rsidRDefault="00A40B0C" w:rsidP="00A40B0C">
      <w:pPr>
        <w:rPr>
          <w:rFonts w:ascii="Georgia" w:hAnsi="Georgia"/>
        </w:rPr>
      </w:pPr>
      <w:r w:rsidRPr="003A1811">
        <w:rPr>
          <w:rFonts w:ascii="Georgia" w:hAnsi="Georgia"/>
        </w:rPr>
        <w:t>Norge och Finland, som båda har alkohol</w:t>
      </w:r>
      <w:r>
        <w:rPr>
          <w:rFonts w:ascii="Georgia" w:hAnsi="Georgia"/>
        </w:rPr>
        <w:softHyphen/>
      </w:r>
      <w:r w:rsidRPr="003A1811">
        <w:rPr>
          <w:rFonts w:ascii="Georgia" w:hAnsi="Georgia"/>
        </w:rPr>
        <w:t>monopol och lyder under samma europeiska lag</w:t>
      </w:r>
      <w:r w:rsidRPr="003A1811">
        <w:rPr>
          <w:rFonts w:ascii="Georgia" w:hAnsi="Georgia"/>
        </w:rPr>
        <w:softHyphen/>
        <w:t>stift</w:t>
      </w:r>
      <w:r w:rsidRPr="003A1811">
        <w:rPr>
          <w:rFonts w:ascii="Georgia" w:hAnsi="Georgia"/>
        </w:rPr>
        <w:softHyphen/>
        <w:t>ning, har</w:t>
      </w:r>
      <w:r>
        <w:rPr>
          <w:rFonts w:ascii="Georgia" w:hAnsi="Georgia"/>
        </w:rPr>
        <w:t xml:space="preserve"> förtydligat sina lagar</w:t>
      </w:r>
      <w:r w:rsidRPr="003A1811">
        <w:rPr>
          <w:rFonts w:ascii="Georgia" w:hAnsi="Georgia"/>
        </w:rPr>
        <w:t xml:space="preserve"> så att kom</w:t>
      </w:r>
      <w:r>
        <w:rPr>
          <w:rFonts w:ascii="Georgia" w:hAnsi="Georgia"/>
        </w:rPr>
        <w:softHyphen/>
      </w:r>
      <w:r w:rsidRPr="003A1811">
        <w:rPr>
          <w:rFonts w:ascii="Georgia" w:hAnsi="Georgia"/>
        </w:rPr>
        <w:t>mer</w:t>
      </w:r>
      <w:r>
        <w:rPr>
          <w:rFonts w:ascii="Georgia" w:hAnsi="Georgia"/>
        </w:rPr>
        <w:softHyphen/>
      </w:r>
      <w:r w:rsidRPr="003A1811">
        <w:rPr>
          <w:rFonts w:ascii="Georgia" w:hAnsi="Georgia"/>
        </w:rPr>
        <w:t>siell alkoholför</w:t>
      </w:r>
      <w:r>
        <w:rPr>
          <w:rFonts w:ascii="Georgia" w:hAnsi="Georgia"/>
        </w:rPr>
        <w:t xml:space="preserve">säljning eller </w:t>
      </w:r>
      <w:proofErr w:type="gramStart"/>
      <w:r>
        <w:rPr>
          <w:rFonts w:ascii="Georgia" w:hAnsi="Georgia"/>
        </w:rPr>
        <w:t>–förmedling</w:t>
      </w:r>
      <w:proofErr w:type="gramEnd"/>
      <w:r>
        <w:rPr>
          <w:rFonts w:ascii="Georgia" w:hAnsi="Georgia"/>
        </w:rPr>
        <w:t xml:space="preserve"> inom </w:t>
      </w:r>
      <w:r w:rsidRPr="003A1811">
        <w:rPr>
          <w:rFonts w:ascii="Georgia" w:hAnsi="Georgia"/>
        </w:rPr>
        <w:t>landet till konsument inte är tillåten, sam</w:t>
      </w:r>
      <w:r>
        <w:rPr>
          <w:rFonts w:ascii="Georgia" w:hAnsi="Georgia"/>
        </w:rPr>
        <w:softHyphen/>
      </w:r>
      <w:r w:rsidRPr="003A1811">
        <w:rPr>
          <w:rFonts w:ascii="Georgia" w:hAnsi="Georgia"/>
        </w:rPr>
        <w:t xml:space="preserve">tidigt som privatpersoner har rätt att importera alkoholdrycker själva om alkoholskatten betalas. </w:t>
      </w:r>
    </w:p>
    <w:p w14:paraId="578926BB" w14:textId="77777777" w:rsidR="0047353A" w:rsidRDefault="0047353A" w:rsidP="0047353A">
      <w:pPr>
        <w:pStyle w:val="Rubrik3"/>
      </w:pPr>
      <w:r>
        <w:t>Om alkoholreklam</w:t>
      </w:r>
    </w:p>
    <w:p w14:paraId="439FBB69" w14:textId="77777777" w:rsidR="009E5B29" w:rsidRDefault="009E5B29" w:rsidP="009E5B29">
      <w:pPr>
        <w:rPr>
          <w:rFonts w:ascii="Georgia" w:hAnsi="Georgia"/>
        </w:rPr>
      </w:pPr>
      <w:r w:rsidRPr="009E5B29">
        <w:rPr>
          <w:rFonts w:ascii="Georgia" w:hAnsi="Georgia"/>
        </w:rPr>
        <w:t>Frågan om alkoholreklam blir också i det här sammanhanget en huvudfråga. Parallellt med den ökade näthandeln har också marknadsföringen av alkohol ökat. Det har blivit allt vanligare med lockerbjudanden i form av fri frakt, mängdrabatter eller priserbjudanden. På fyra år har alkoholreklamen mer än fördubblats till över en miljard kronor brutto om året. Detta rimmar illa med syftet med den restriktiva alkoholpolitiken. Istället bör all marknadsföring av alkohol i Sverige förbjudas.</w:t>
      </w:r>
    </w:p>
    <w:p w14:paraId="61E57F10" w14:textId="77777777" w:rsidR="007367B0" w:rsidRPr="00942980" w:rsidRDefault="007367B0" w:rsidP="007367B0">
      <w:pPr>
        <w:autoSpaceDE w:val="0"/>
        <w:autoSpaceDN w:val="0"/>
        <w:adjustRightInd w:val="0"/>
        <w:spacing w:after="0" w:line="240" w:lineRule="auto"/>
        <w:rPr>
          <w:rFonts w:ascii="Georgia" w:hAnsi="Georgia" w:cs="Tahoma"/>
          <w:i/>
          <w:color w:val="000000"/>
          <w:sz w:val="21"/>
          <w:szCs w:val="21"/>
        </w:rPr>
      </w:pPr>
      <w:r w:rsidRPr="00942980">
        <w:rPr>
          <w:rFonts w:ascii="Georgia" w:hAnsi="Georgia" w:cs="Tahoma"/>
          <w:i/>
          <w:color w:val="000000"/>
          <w:sz w:val="21"/>
          <w:szCs w:val="21"/>
        </w:rPr>
        <w:t>För ytterligare information:</w:t>
      </w:r>
    </w:p>
    <w:p w14:paraId="3C487370" w14:textId="77777777" w:rsidR="007367B0" w:rsidRPr="008A09F9" w:rsidRDefault="007367B0" w:rsidP="008A09F9">
      <w:pPr>
        <w:autoSpaceDE w:val="0"/>
        <w:autoSpaceDN w:val="0"/>
        <w:adjustRightInd w:val="0"/>
        <w:spacing w:after="0" w:line="240" w:lineRule="auto"/>
        <w:rPr>
          <w:rFonts w:ascii="Georgia" w:hAnsi="Georgia" w:cs="Tahoma"/>
          <w:i/>
          <w:color w:val="000000"/>
          <w:sz w:val="20"/>
          <w:szCs w:val="20"/>
        </w:rPr>
      </w:pPr>
      <w:r w:rsidRPr="00942980">
        <w:rPr>
          <w:rFonts w:ascii="Georgia" w:hAnsi="Georgia" w:cs="Tahoma"/>
          <w:i/>
          <w:color w:val="000000"/>
          <w:sz w:val="20"/>
          <w:szCs w:val="20"/>
        </w:rPr>
        <w:t>Sven Andréasson, ordförande i Alkoholpolitiskt Forum, 070-</w:t>
      </w:r>
      <w:r w:rsidRPr="007367B0">
        <w:rPr>
          <w:rFonts w:ascii="Georgia" w:hAnsi="Georgia" w:cs="Tahoma"/>
          <w:i/>
          <w:color w:val="000000"/>
          <w:sz w:val="20"/>
          <w:szCs w:val="20"/>
        </w:rPr>
        <w:t>862 59 46</w:t>
      </w:r>
      <w:r w:rsidRPr="00942980">
        <w:rPr>
          <w:rFonts w:ascii="Georgia" w:hAnsi="Georgia" w:cs="Tahoma"/>
          <w:i/>
          <w:color w:val="000000"/>
          <w:sz w:val="20"/>
          <w:szCs w:val="20"/>
        </w:rPr>
        <w:t xml:space="preserve">, </w:t>
      </w:r>
      <w:hyperlink r:id="rId9" w:history="1">
        <w:r w:rsidRPr="00942980">
          <w:rPr>
            <w:rStyle w:val="Hyperlnk"/>
            <w:rFonts w:ascii="Georgia" w:hAnsi="Georgia" w:cs="Tahoma"/>
            <w:i/>
            <w:sz w:val="20"/>
            <w:szCs w:val="20"/>
          </w:rPr>
          <w:t>sven.andreasson@sll.se</w:t>
        </w:r>
      </w:hyperlink>
      <w:r w:rsidRPr="00942980">
        <w:rPr>
          <w:rFonts w:ascii="Georgia" w:hAnsi="Georgia" w:cs="Tahoma"/>
          <w:i/>
          <w:color w:val="000000"/>
          <w:sz w:val="20"/>
          <w:szCs w:val="20"/>
        </w:rPr>
        <w:t xml:space="preserve"> </w:t>
      </w:r>
    </w:p>
    <w:sectPr w:rsidR="007367B0" w:rsidRPr="008A09F9" w:rsidSect="00D6205E">
      <w:headerReference w:type="even" r:id="rId10"/>
      <w:headerReference w:type="default" r:id="rId11"/>
      <w:footerReference w:type="default" r:id="rId12"/>
      <w:pgSz w:w="11906" w:h="16838"/>
      <w:pgMar w:top="567" w:right="1021" w:bottom="851" w:left="1418"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CE78A8" w14:textId="77777777" w:rsidR="00A63D84" w:rsidRDefault="00A63D84" w:rsidP="00035B3D">
      <w:pPr>
        <w:spacing w:after="0" w:line="240" w:lineRule="auto"/>
      </w:pPr>
      <w:r>
        <w:separator/>
      </w:r>
    </w:p>
  </w:endnote>
  <w:endnote w:type="continuationSeparator" w:id="0">
    <w:p w14:paraId="62891CE1" w14:textId="77777777" w:rsidR="00A63D84" w:rsidRDefault="00A63D84" w:rsidP="00035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851402"/>
      <w:docPartObj>
        <w:docPartGallery w:val="Page Numbers (Bottom of Page)"/>
        <w:docPartUnique/>
      </w:docPartObj>
    </w:sdtPr>
    <w:sdtEndPr/>
    <w:sdtContent>
      <w:p w14:paraId="1372FCBE" w14:textId="77777777" w:rsidR="008F0222" w:rsidRDefault="00C25DFB">
        <w:pPr>
          <w:pStyle w:val="Sidfot"/>
          <w:jc w:val="center"/>
        </w:pPr>
        <w:r>
          <w:fldChar w:fldCharType="begin"/>
        </w:r>
        <w:r w:rsidR="008F0222">
          <w:instrText>PAGE   \* MERGEFORMAT</w:instrText>
        </w:r>
        <w:r>
          <w:fldChar w:fldCharType="separate"/>
        </w:r>
        <w:r w:rsidR="00083794">
          <w:rPr>
            <w:noProof/>
          </w:rPr>
          <w:t>1</w:t>
        </w:r>
        <w:r>
          <w:fldChar w:fldCharType="end"/>
        </w:r>
      </w:p>
    </w:sdtContent>
  </w:sdt>
  <w:p w14:paraId="3D56CD2E" w14:textId="77777777" w:rsidR="007A28F9" w:rsidRPr="00942980" w:rsidRDefault="007A28F9" w:rsidP="00942980">
    <w:pPr>
      <w:autoSpaceDE w:val="0"/>
      <w:autoSpaceDN w:val="0"/>
      <w:adjustRightInd w:val="0"/>
      <w:spacing w:after="0" w:line="240" w:lineRule="auto"/>
      <w:rPr>
        <w:i/>
        <w:i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81555F" w14:textId="77777777" w:rsidR="00A63D84" w:rsidRDefault="00A63D84" w:rsidP="00035B3D">
      <w:pPr>
        <w:spacing w:after="0" w:line="240" w:lineRule="auto"/>
      </w:pPr>
      <w:r>
        <w:separator/>
      </w:r>
    </w:p>
  </w:footnote>
  <w:footnote w:type="continuationSeparator" w:id="0">
    <w:p w14:paraId="1714CE49" w14:textId="77777777" w:rsidR="00A63D84" w:rsidRDefault="00A63D84" w:rsidP="00035B3D">
      <w:pPr>
        <w:spacing w:after="0" w:line="240" w:lineRule="auto"/>
      </w:pPr>
      <w:r>
        <w:continuationSeparator/>
      </w:r>
    </w:p>
  </w:footnote>
  <w:footnote w:id="1">
    <w:p w14:paraId="4B62E5AF" w14:textId="77777777" w:rsidR="00070F00" w:rsidRDefault="00070F00" w:rsidP="00070F00">
      <w:r>
        <w:rPr>
          <w:rStyle w:val="Fotnotsreferens"/>
        </w:rPr>
        <w:footnoteRef/>
      </w:r>
      <w:r>
        <w:t xml:space="preserve"> </w:t>
      </w:r>
      <w:hyperlink r:id="rId1" w:history="1">
        <w:r w:rsidRPr="000F558E">
          <w:rPr>
            <w:rStyle w:val="Hyperlnk"/>
          </w:rPr>
          <w:t>http://www.riksdagen.se/sv/Dokument-Lagar/Utredningar/Kommittedirektiv/Framjandeforbudet-i-lotterilag_H2B16/</w:t>
        </w:r>
      </w:hyperlink>
      <w:r>
        <w:t xml:space="preserve"> </w:t>
      </w:r>
    </w:p>
    <w:p w14:paraId="2C123761" w14:textId="77777777" w:rsidR="00070F00" w:rsidRDefault="00070F00" w:rsidP="00070F00">
      <w:pPr>
        <w:pStyle w:val="Fotnots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992B5" w14:textId="77777777" w:rsidR="00AF0917" w:rsidRDefault="00AF0917" w:rsidP="00184340">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0D0E27B6" w14:textId="77777777" w:rsidR="00F43280" w:rsidRDefault="00F43280" w:rsidP="00AF0917">
    <w:pPr>
      <w:pStyle w:val="Sidhuvud"/>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77F685" w14:textId="77777777" w:rsidR="00AF0917" w:rsidRDefault="00AF0917" w:rsidP="00184340">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083794">
      <w:rPr>
        <w:rStyle w:val="Sidnummer"/>
        <w:noProof/>
      </w:rPr>
      <w:t>1</w:t>
    </w:r>
    <w:r>
      <w:rPr>
        <w:rStyle w:val="Sidnummer"/>
      </w:rPr>
      <w:fldChar w:fldCharType="end"/>
    </w:r>
  </w:p>
  <w:p w14:paraId="56390F60" w14:textId="77777777" w:rsidR="007A28F9" w:rsidRDefault="007A28F9" w:rsidP="00AF0917">
    <w:pPr>
      <w:pStyle w:val="Sidhuvud"/>
      <w:ind w:right="360"/>
    </w:pPr>
    <w:r>
      <w:rPr>
        <w:noProof/>
        <w:lang w:eastAsia="sv-SE"/>
      </w:rPr>
      <w:drawing>
        <wp:inline distT="0" distB="0" distL="0" distR="0" wp14:anchorId="68C94E10" wp14:editId="0DC4A10B">
          <wp:extent cx="2314575" cy="447675"/>
          <wp:effectExtent l="0" t="0" r="9525" b="9525"/>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4575" cy="447675"/>
                  </a:xfrm>
                  <a:prstGeom prst="rect">
                    <a:avLst/>
                  </a:prstGeom>
                  <a:noFill/>
                  <a:ln>
                    <a:noFill/>
                  </a:ln>
                </pic:spPr>
              </pic:pic>
            </a:graphicData>
          </a:graphic>
        </wp:inline>
      </w:drawing>
    </w:r>
    <w:r>
      <w:tab/>
      <w:t xml:space="preserve">                             </w:t>
    </w:r>
    <w:r w:rsidR="000E7C9D">
      <w:t xml:space="preserve">                      2014-</w:t>
    </w:r>
    <w:r w:rsidR="005306A9">
      <w:t>0</w:t>
    </w:r>
    <w:r w:rsidR="00766FEB">
      <w:t>9</w:t>
    </w:r>
    <w:r w:rsidR="0005048E">
      <w:t>-</w:t>
    </w:r>
    <w:r w:rsidR="00766FEB">
      <w:t xml:space="preserve">08 </w:t>
    </w:r>
  </w:p>
  <w:p w14:paraId="660FC584" w14:textId="77777777" w:rsidR="008F0222" w:rsidRDefault="008F0222">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E06E69"/>
    <w:multiLevelType w:val="hybridMultilevel"/>
    <w:tmpl w:val="F0347C7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7FFD72A6"/>
    <w:multiLevelType w:val="hybridMultilevel"/>
    <w:tmpl w:val="2CC04E5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9D7"/>
    <w:rsid w:val="00001B77"/>
    <w:rsid w:val="0001082F"/>
    <w:rsid w:val="00035B3D"/>
    <w:rsid w:val="0005048E"/>
    <w:rsid w:val="0005628E"/>
    <w:rsid w:val="00070F00"/>
    <w:rsid w:val="00083794"/>
    <w:rsid w:val="00085FAB"/>
    <w:rsid w:val="00096439"/>
    <w:rsid w:val="000A4379"/>
    <w:rsid w:val="000E5154"/>
    <w:rsid w:val="000E7C9D"/>
    <w:rsid w:val="00111230"/>
    <w:rsid w:val="00114469"/>
    <w:rsid w:val="00136A05"/>
    <w:rsid w:val="0016381B"/>
    <w:rsid w:val="001771F7"/>
    <w:rsid w:val="00193B16"/>
    <w:rsid w:val="00197DBF"/>
    <w:rsid w:val="001D37C4"/>
    <w:rsid w:val="001E0CA6"/>
    <w:rsid w:val="0020586A"/>
    <w:rsid w:val="0020603F"/>
    <w:rsid w:val="00215265"/>
    <w:rsid w:val="002529E2"/>
    <w:rsid w:val="002821F3"/>
    <w:rsid w:val="002A663A"/>
    <w:rsid w:val="002C4DC8"/>
    <w:rsid w:val="003069D5"/>
    <w:rsid w:val="00386CE2"/>
    <w:rsid w:val="00397814"/>
    <w:rsid w:val="003A1811"/>
    <w:rsid w:val="003A3024"/>
    <w:rsid w:val="003A5197"/>
    <w:rsid w:val="003B165B"/>
    <w:rsid w:val="003B48F3"/>
    <w:rsid w:val="003E4639"/>
    <w:rsid w:val="003F18D0"/>
    <w:rsid w:val="00433235"/>
    <w:rsid w:val="0045582A"/>
    <w:rsid w:val="00462020"/>
    <w:rsid w:val="0047353A"/>
    <w:rsid w:val="0049163C"/>
    <w:rsid w:val="004B650A"/>
    <w:rsid w:val="004C0127"/>
    <w:rsid w:val="004C0391"/>
    <w:rsid w:val="004D7290"/>
    <w:rsid w:val="00506A8B"/>
    <w:rsid w:val="005158F2"/>
    <w:rsid w:val="005244E4"/>
    <w:rsid w:val="005304F7"/>
    <w:rsid w:val="005306A9"/>
    <w:rsid w:val="00551EB2"/>
    <w:rsid w:val="0056072E"/>
    <w:rsid w:val="005707A9"/>
    <w:rsid w:val="005A30A3"/>
    <w:rsid w:val="005A64D2"/>
    <w:rsid w:val="005F1A13"/>
    <w:rsid w:val="005F4005"/>
    <w:rsid w:val="006503F0"/>
    <w:rsid w:val="00665076"/>
    <w:rsid w:val="006661F6"/>
    <w:rsid w:val="00672595"/>
    <w:rsid w:val="00697765"/>
    <w:rsid w:val="006A5FF3"/>
    <w:rsid w:val="006F376C"/>
    <w:rsid w:val="006F39D7"/>
    <w:rsid w:val="006F3A30"/>
    <w:rsid w:val="007208DE"/>
    <w:rsid w:val="00725C57"/>
    <w:rsid w:val="00726E10"/>
    <w:rsid w:val="00730ED9"/>
    <w:rsid w:val="007367B0"/>
    <w:rsid w:val="00765DB9"/>
    <w:rsid w:val="00766FEB"/>
    <w:rsid w:val="00771BAD"/>
    <w:rsid w:val="00772596"/>
    <w:rsid w:val="00790AD2"/>
    <w:rsid w:val="007A28F9"/>
    <w:rsid w:val="007B6C1C"/>
    <w:rsid w:val="007D3D9C"/>
    <w:rsid w:val="007D4E6F"/>
    <w:rsid w:val="007D7817"/>
    <w:rsid w:val="007E0D9D"/>
    <w:rsid w:val="007F0B04"/>
    <w:rsid w:val="007F1D90"/>
    <w:rsid w:val="007F7AC4"/>
    <w:rsid w:val="00801434"/>
    <w:rsid w:val="00812405"/>
    <w:rsid w:val="008360A5"/>
    <w:rsid w:val="0084783F"/>
    <w:rsid w:val="008506C5"/>
    <w:rsid w:val="008518B6"/>
    <w:rsid w:val="008775FE"/>
    <w:rsid w:val="00881FCB"/>
    <w:rsid w:val="00887E50"/>
    <w:rsid w:val="00897D4C"/>
    <w:rsid w:val="008A09F9"/>
    <w:rsid w:val="008F0222"/>
    <w:rsid w:val="00913F66"/>
    <w:rsid w:val="00915EED"/>
    <w:rsid w:val="0093109C"/>
    <w:rsid w:val="0093137E"/>
    <w:rsid w:val="00942980"/>
    <w:rsid w:val="00946DE1"/>
    <w:rsid w:val="00971C73"/>
    <w:rsid w:val="009B18FA"/>
    <w:rsid w:val="009C0FCA"/>
    <w:rsid w:val="009E5B29"/>
    <w:rsid w:val="00A10E62"/>
    <w:rsid w:val="00A12692"/>
    <w:rsid w:val="00A12F12"/>
    <w:rsid w:val="00A17244"/>
    <w:rsid w:val="00A1728C"/>
    <w:rsid w:val="00A40B0C"/>
    <w:rsid w:val="00A56A00"/>
    <w:rsid w:val="00A60F9E"/>
    <w:rsid w:val="00A63D84"/>
    <w:rsid w:val="00A72B43"/>
    <w:rsid w:val="00A8321A"/>
    <w:rsid w:val="00A8693C"/>
    <w:rsid w:val="00AD5806"/>
    <w:rsid w:val="00AD7A34"/>
    <w:rsid w:val="00AE45AC"/>
    <w:rsid w:val="00AF0917"/>
    <w:rsid w:val="00AF20F6"/>
    <w:rsid w:val="00B264AB"/>
    <w:rsid w:val="00B35DB0"/>
    <w:rsid w:val="00B52D87"/>
    <w:rsid w:val="00B578E1"/>
    <w:rsid w:val="00B7721B"/>
    <w:rsid w:val="00B819B5"/>
    <w:rsid w:val="00B82D83"/>
    <w:rsid w:val="00B947C3"/>
    <w:rsid w:val="00BB3498"/>
    <w:rsid w:val="00BB51C2"/>
    <w:rsid w:val="00C25DFB"/>
    <w:rsid w:val="00C26A83"/>
    <w:rsid w:val="00C57B12"/>
    <w:rsid w:val="00C94BCA"/>
    <w:rsid w:val="00D01D35"/>
    <w:rsid w:val="00D10784"/>
    <w:rsid w:val="00D11C1A"/>
    <w:rsid w:val="00D15727"/>
    <w:rsid w:val="00D462FE"/>
    <w:rsid w:val="00D5463F"/>
    <w:rsid w:val="00D6205E"/>
    <w:rsid w:val="00D64211"/>
    <w:rsid w:val="00D70C47"/>
    <w:rsid w:val="00D75804"/>
    <w:rsid w:val="00D97A44"/>
    <w:rsid w:val="00DC0D75"/>
    <w:rsid w:val="00DC412D"/>
    <w:rsid w:val="00DD3460"/>
    <w:rsid w:val="00DE0564"/>
    <w:rsid w:val="00DE4D72"/>
    <w:rsid w:val="00E00B3A"/>
    <w:rsid w:val="00E06C40"/>
    <w:rsid w:val="00E07EF5"/>
    <w:rsid w:val="00E20312"/>
    <w:rsid w:val="00E20798"/>
    <w:rsid w:val="00E53187"/>
    <w:rsid w:val="00E5675D"/>
    <w:rsid w:val="00E81E55"/>
    <w:rsid w:val="00E9390B"/>
    <w:rsid w:val="00EB41C6"/>
    <w:rsid w:val="00EC699E"/>
    <w:rsid w:val="00EC76BB"/>
    <w:rsid w:val="00EF3DF2"/>
    <w:rsid w:val="00F305BD"/>
    <w:rsid w:val="00F43280"/>
    <w:rsid w:val="00F45BAF"/>
    <w:rsid w:val="00F56D53"/>
    <w:rsid w:val="00F607F5"/>
    <w:rsid w:val="00F75E46"/>
    <w:rsid w:val="00FD0560"/>
    <w:rsid w:val="00FD2192"/>
    <w:rsid w:val="00FF3E0D"/>
  </w:rsids>
  <m:mathPr>
    <m:mathFont m:val="Cambria Math"/>
    <m:brkBin m:val="before"/>
    <m:brkBinSub m:val="--"/>
    <m:smallFrac/>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57AD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next w:val="Normal"/>
    <w:link w:val="Rubrik1Char"/>
    <w:uiPriority w:val="9"/>
    <w:qFormat/>
    <w:rsid w:val="007725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7725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8F0222"/>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6F39D7"/>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6F39D7"/>
    <w:rPr>
      <w:rFonts w:ascii="Tahoma" w:hAnsi="Tahoma" w:cs="Tahoma"/>
      <w:sz w:val="16"/>
      <w:szCs w:val="16"/>
    </w:rPr>
  </w:style>
  <w:style w:type="paragraph" w:customStyle="1" w:styleId="Default">
    <w:name w:val="Default"/>
    <w:rsid w:val="003B48F3"/>
    <w:pPr>
      <w:autoSpaceDE w:val="0"/>
      <w:autoSpaceDN w:val="0"/>
      <w:adjustRightInd w:val="0"/>
      <w:spacing w:after="0" w:line="240" w:lineRule="auto"/>
    </w:pPr>
    <w:rPr>
      <w:rFonts w:ascii="Calibri" w:hAnsi="Calibri" w:cs="Calibri"/>
      <w:color w:val="000000"/>
      <w:sz w:val="24"/>
      <w:szCs w:val="24"/>
    </w:rPr>
  </w:style>
  <w:style w:type="character" w:styleId="Hyperlnk">
    <w:name w:val="Hyperlink"/>
    <w:basedOn w:val="Standardstycketeckensnitt"/>
    <w:uiPriority w:val="99"/>
    <w:unhideWhenUsed/>
    <w:rsid w:val="003B48F3"/>
    <w:rPr>
      <w:color w:val="0000FF" w:themeColor="hyperlink"/>
      <w:u w:val="single"/>
    </w:rPr>
  </w:style>
  <w:style w:type="character" w:customStyle="1" w:styleId="Rubrik1Char">
    <w:name w:val="Rubrik 1 Char"/>
    <w:basedOn w:val="Standardstycketeckensnitt"/>
    <w:link w:val="Rubrik1"/>
    <w:uiPriority w:val="9"/>
    <w:rsid w:val="00772596"/>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772596"/>
    <w:rPr>
      <w:rFonts w:asciiTheme="majorHAnsi" w:eastAsiaTheme="majorEastAsia" w:hAnsiTheme="majorHAnsi" w:cstheme="majorBidi"/>
      <w:b/>
      <w:bCs/>
      <w:color w:val="4F81BD" w:themeColor="accent1"/>
      <w:sz w:val="26"/>
      <w:szCs w:val="26"/>
    </w:rPr>
  </w:style>
  <w:style w:type="paragraph" w:styleId="Sidhuvud">
    <w:name w:val="header"/>
    <w:basedOn w:val="Normal"/>
    <w:link w:val="SidhuvudChar"/>
    <w:uiPriority w:val="99"/>
    <w:unhideWhenUsed/>
    <w:rsid w:val="00035B3D"/>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035B3D"/>
  </w:style>
  <w:style w:type="paragraph" w:styleId="Sidfot">
    <w:name w:val="footer"/>
    <w:basedOn w:val="Normal"/>
    <w:link w:val="SidfotChar"/>
    <w:uiPriority w:val="99"/>
    <w:unhideWhenUsed/>
    <w:rsid w:val="00035B3D"/>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035B3D"/>
  </w:style>
  <w:style w:type="paragraph" w:styleId="Fotnotstext">
    <w:name w:val="footnote text"/>
    <w:basedOn w:val="Normal"/>
    <w:link w:val="FotnotstextChar"/>
    <w:uiPriority w:val="99"/>
    <w:semiHidden/>
    <w:unhideWhenUsed/>
    <w:rsid w:val="00111230"/>
    <w:pPr>
      <w:spacing w:after="0" w:line="240" w:lineRule="auto"/>
    </w:pPr>
    <w:rPr>
      <w:sz w:val="20"/>
      <w:szCs w:val="20"/>
    </w:rPr>
  </w:style>
  <w:style w:type="character" w:customStyle="1" w:styleId="FotnotstextChar">
    <w:name w:val="Fotnotstext Char"/>
    <w:basedOn w:val="Standardstycketeckensnitt"/>
    <w:link w:val="Fotnotstext"/>
    <w:uiPriority w:val="99"/>
    <w:semiHidden/>
    <w:rsid w:val="00111230"/>
    <w:rPr>
      <w:sz w:val="20"/>
      <w:szCs w:val="20"/>
    </w:rPr>
  </w:style>
  <w:style w:type="character" w:styleId="Fotnotsreferens">
    <w:name w:val="footnote reference"/>
    <w:basedOn w:val="Standardstycketeckensnitt"/>
    <w:uiPriority w:val="99"/>
    <w:semiHidden/>
    <w:unhideWhenUsed/>
    <w:rsid w:val="00111230"/>
    <w:rPr>
      <w:vertAlign w:val="superscript"/>
    </w:rPr>
  </w:style>
  <w:style w:type="paragraph" w:styleId="Liststycke">
    <w:name w:val="List Paragraph"/>
    <w:basedOn w:val="Normal"/>
    <w:uiPriority w:val="34"/>
    <w:qFormat/>
    <w:rsid w:val="00726E10"/>
    <w:pPr>
      <w:ind w:left="720"/>
      <w:contextualSpacing/>
    </w:pPr>
  </w:style>
  <w:style w:type="character" w:customStyle="1" w:styleId="Rubrik3Char">
    <w:name w:val="Rubrik 3 Char"/>
    <w:basedOn w:val="Standardstycketeckensnitt"/>
    <w:link w:val="Rubrik3"/>
    <w:uiPriority w:val="9"/>
    <w:rsid w:val="008F0222"/>
    <w:rPr>
      <w:rFonts w:asciiTheme="majorHAnsi" w:eastAsiaTheme="majorEastAsia" w:hAnsiTheme="majorHAnsi" w:cstheme="majorBidi"/>
      <w:b/>
      <w:bCs/>
      <w:color w:val="4F81BD" w:themeColor="accent1"/>
    </w:rPr>
  </w:style>
  <w:style w:type="character" w:styleId="Sidnummer">
    <w:name w:val="page number"/>
    <w:basedOn w:val="Standardstycketeckensnitt"/>
    <w:uiPriority w:val="99"/>
    <w:semiHidden/>
    <w:unhideWhenUsed/>
    <w:rsid w:val="00AF091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next w:val="Normal"/>
    <w:link w:val="Rubrik1Char"/>
    <w:uiPriority w:val="9"/>
    <w:qFormat/>
    <w:rsid w:val="007725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7725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8F0222"/>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6F39D7"/>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6F39D7"/>
    <w:rPr>
      <w:rFonts w:ascii="Tahoma" w:hAnsi="Tahoma" w:cs="Tahoma"/>
      <w:sz w:val="16"/>
      <w:szCs w:val="16"/>
    </w:rPr>
  </w:style>
  <w:style w:type="paragraph" w:customStyle="1" w:styleId="Default">
    <w:name w:val="Default"/>
    <w:rsid w:val="003B48F3"/>
    <w:pPr>
      <w:autoSpaceDE w:val="0"/>
      <w:autoSpaceDN w:val="0"/>
      <w:adjustRightInd w:val="0"/>
      <w:spacing w:after="0" w:line="240" w:lineRule="auto"/>
    </w:pPr>
    <w:rPr>
      <w:rFonts w:ascii="Calibri" w:hAnsi="Calibri" w:cs="Calibri"/>
      <w:color w:val="000000"/>
      <w:sz w:val="24"/>
      <w:szCs w:val="24"/>
    </w:rPr>
  </w:style>
  <w:style w:type="character" w:styleId="Hyperlnk">
    <w:name w:val="Hyperlink"/>
    <w:basedOn w:val="Standardstycketeckensnitt"/>
    <w:uiPriority w:val="99"/>
    <w:unhideWhenUsed/>
    <w:rsid w:val="003B48F3"/>
    <w:rPr>
      <w:color w:val="0000FF" w:themeColor="hyperlink"/>
      <w:u w:val="single"/>
    </w:rPr>
  </w:style>
  <w:style w:type="character" w:customStyle="1" w:styleId="Rubrik1Char">
    <w:name w:val="Rubrik 1 Char"/>
    <w:basedOn w:val="Standardstycketeckensnitt"/>
    <w:link w:val="Rubrik1"/>
    <w:uiPriority w:val="9"/>
    <w:rsid w:val="00772596"/>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772596"/>
    <w:rPr>
      <w:rFonts w:asciiTheme="majorHAnsi" w:eastAsiaTheme="majorEastAsia" w:hAnsiTheme="majorHAnsi" w:cstheme="majorBidi"/>
      <w:b/>
      <w:bCs/>
      <w:color w:val="4F81BD" w:themeColor="accent1"/>
      <w:sz w:val="26"/>
      <w:szCs w:val="26"/>
    </w:rPr>
  </w:style>
  <w:style w:type="paragraph" w:styleId="Sidhuvud">
    <w:name w:val="header"/>
    <w:basedOn w:val="Normal"/>
    <w:link w:val="SidhuvudChar"/>
    <w:uiPriority w:val="99"/>
    <w:unhideWhenUsed/>
    <w:rsid w:val="00035B3D"/>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035B3D"/>
  </w:style>
  <w:style w:type="paragraph" w:styleId="Sidfot">
    <w:name w:val="footer"/>
    <w:basedOn w:val="Normal"/>
    <w:link w:val="SidfotChar"/>
    <w:uiPriority w:val="99"/>
    <w:unhideWhenUsed/>
    <w:rsid w:val="00035B3D"/>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035B3D"/>
  </w:style>
  <w:style w:type="paragraph" w:styleId="Fotnotstext">
    <w:name w:val="footnote text"/>
    <w:basedOn w:val="Normal"/>
    <w:link w:val="FotnotstextChar"/>
    <w:uiPriority w:val="99"/>
    <w:semiHidden/>
    <w:unhideWhenUsed/>
    <w:rsid w:val="00111230"/>
    <w:pPr>
      <w:spacing w:after="0" w:line="240" w:lineRule="auto"/>
    </w:pPr>
    <w:rPr>
      <w:sz w:val="20"/>
      <w:szCs w:val="20"/>
    </w:rPr>
  </w:style>
  <w:style w:type="character" w:customStyle="1" w:styleId="FotnotstextChar">
    <w:name w:val="Fotnotstext Char"/>
    <w:basedOn w:val="Standardstycketeckensnitt"/>
    <w:link w:val="Fotnotstext"/>
    <w:uiPriority w:val="99"/>
    <w:semiHidden/>
    <w:rsid w:val="00111230"/>
    <w:rPr>
      <w:sz w:val="20"/>
      <w:szCs w:val="20"/>
    </w:rPr>
  </w:style>
  <w:style w:type="character" w:styleId="Fotnotsreferens">
    <w:name w:val="footnote reference"/>
    <w:basedOn w:val="Standardstycketeckensnitt"/>
    <w:uiPriority w:val="99"/>
    <w:semiHidden/>
    <w:unhideWhenUsed/>
    <w:rsid w:val="00111230"/>
    <w:rPr>
      <w:vertAlign w:val="superscript"/>
    </w:rPr>
  </w:style>
  <w:style w:type="paragraph" w:styleId="Liststycke">
    <w:name w:val="List Paragraph"/>
    <w:basedOn w:val="Normal"/>
    <w:uiPriority w:val="34"/>
    <w:qFormat/>
    <w:rsid w:val="00726E10"/>
    <w:pPr>
      <w:ind w:left="720"/>
      <w:contextualSpacing/>
    </w:pPr>
  </w:style>
  <w:style w:type="character" w:customStyle="1" w:styleId="Rubrik3Char">
    <w:name w:val="Rubrik 3 Char"/>
    <w:basedOn w:val="Standardstycketeckensnitt"/>
    <w:link w:val="Rubrik3"/>
    <w:uiPriority w:val="9"/>
    <w:rsid w:val="008F0222"/>
    <w:rPr>
      <w:rFonts w:asciiTheme="majorHAnsi" w:eastAsiaTheme="majorEastAsia" w:hAnsiTheme="majorHAnsi" w:cstheme="majorBidi"/>
      <w:b/>
      <w:bCs/>
      <w:color w:val="4F81BD" w:themeColor="accent1"/>
    </w:rPr>
  </w:style>
  <w:style w:type="character" w:styleId="Sidnummer">
    <w:name w:val="page number"/>
    <w:basedOn w:val="Standardstycketeckensnitt"/>
    <w:uiPriority w:val="99"/>
    <w:semiHidden/>
    <w:unhideWhenUsed/>
    <w:rsid w:val="00AF09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sven.andreasson@sll.se"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riksdagen.se/sv/Dokument-Lagar/Utredningar/Kommittedirektiv/Framjandeforbudet-i-lotterilag_H2B16/"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A72916-0E85-4D5A-97E9-03A95EF26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1523</Words>
  <Characters>8077</Characters>
  <Application>Microsoft Office Word</Application>
  <DocSecurity>0</DocSecurity>
  <Lines>67</Lines>
  <Paragraphs>19</Paragraphs>
  <ScaleCrop>false</ScaleCrop>
  <HeadingPairs>
    <vt:vector size="2" baseType="variant">
      <vt:variant>
        <vt:lpstr>Rubrik</vt:lpstr>
      </vt:variant>
      <vt:variant>
        <vt:i4>1</vt:i4>
      </vt:variant>
    </vt:vector>
  </HeadingPairs>
  <TitlesOfParts>
    <vt:vector size="1" baseType="lpstr">
      <vt:lpstr/>
    </vt:vector>
  </TitlesOfParts>
  <LinksUpToDate>false</LinksUpToDate>
  <CharactersWithSpaces>9581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2014-09-14T14:15:00Z</dcterms:created>
  <dcterms:modified xsi:type="dcterms:W3CDTF">2014-09-14T14:15:00Z</dcterms:modified>
</cp:coreProperties>
</file>