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8F3" w:rsidRPr="007F7AC4" w:rsidRDefault="003E2563" w:rsidP="007F7AC4">
      <w:pPr>
        <w:pStyle w:val="Rubrik1"/>
      </w:pPr>
      <w:bookmarkStart w:id="0" w:name="_GoBack"/>
      <w:bookmarkEnd w:id="0"/>
      <w:r>
        <w:t>E-handel med alkohol – en bakgrund</w:t>
      </w:r>
    </w:p>
    <w:p w:rsidR="00772596" w:rsidRDefault="00BE7363" w:rsidP="00D6205E">
      <w:pPr>
        <w:pStyle w:val="Rubrik2"/>
        <w:spacing w:before="120"/>
      </w:pPr>
      <w:r>
        <w:t>Historik</w:t>
      </w:r>
    </w:p>
    <w:p w:rsidR="00772596" w:rsidRPr="003A1811" w:rsidRDefault="003F18D0" w:rsidP="00772596">
      <w:pPr>
        <w:rPr>
          <w:rFonts w:ascii="Georgia" w:hAnsi="Georgia"/>
        </w:rPr>
      </w:pPr>
      <w:r>
        <w:rPr>
          <w:rFonts w:ascii="Georgia" w:hAnsi="Georgia"/>
        </w:rPr>
        <w:t>Efter EU-domstolens dom 2007 i det så kallade Rosengren-målet, då Sverige tvingades avskaffa sitt förbud mot privatimport av alkohol</w:t>
      </w:r>
      <w:r w:rsidR="001D37C4">
        <w:rPr>
          <w:rFonts w:ascii="Georgia" w:hAnsi="Georgia"/>
        </w:rPr>
        <w:t xml:space="preserve"> som kom till 1916 i syfte att skydda de då lokala detaljhandelsmonopolen</w:t>
      </w:r>
      <w:r>
        <w:rPr>
          <w:rFonts w:ascii="Georgia" w:hAnsi="Georgia"/>
        </w:rPr>
        <w:t>, har d</w:t>
      </w:r>
      <w:r w:rsidR="007F7AC4" w:rsidRPr="003A1811">
        <w:rPr>
          <w:rFonts w:ascii="Georgia" w:hAnsi="Georgia"/>
        </w:rPr>
        <w:t xml:space="preserve">et vuxit fram </w:t>
      </w:r>
      <w:r w:rsidR="00A17244" w:rsidRPr="003A1811">
        <w:rPr>
          <w:rFonts w:ascii="Georgia" w:hAnsi="Georgia"/>
        </w:rPr>
        <w:t>många</w:t>
      </w:r>
      <w:r w:rsidR="007F7AC4" w:rsidRPr="003A1811">
        <w:rPr>
          <w:rFonts w:ascii="Georgia" w:hAnsi="Georgia"/>
        </w:rPr>
        <w:t xml:space="preserve"> företag i Sverige som </w:t>
      </w:r>
      <w:r w:rsidR="0049163C" w:rsidRPr="003A1811">
        <w:rPr>
          <w:rFonts w:ascii="Georgia" w:hAnsi="Georgia"/>
        </w:rPr>
        <w:t>i praktiken be</w:t>
      </w:r>
      <w:r w:rsidR="00A8693C" w:rsidRPr="003A1811">
        <w:rPr>
          <w:rFonts w:ascii="Georgia" w:hAnsi="Georgia"/>
        </w:rPr>
        <w:t xml:space="preserve">driver </w:t>
      </w:r>
      <w:r w:rsidR="0049163C" w:rsidRPr="003A1811">
        <w:rPr>
          <w:rFonts w:ascii="Georgia" w:hAnsi="Georgia"/>
        </w:rPr>
        <w:t xml:space="preserve">detaljhandel med alkohol </w:t>
      </w:r>
      <w:r w:rsidR="007A28F9" w:rsidRPr="003A1811">
        <w:rPr>
          <w:rFonts w:ascii="Georgia" w:hAnsi="Georgia"/>
        </w:rPr>
        <w:t>trots att sådan bara får bedrivas av Systembolaget. De gör det med</w:t>
      </w:r>
      <w:r w:rsidR="00A8693C" w:rsidRPr="003A1811">
        <w:rPr>
          <w:rFonts w:ascii="Georgia" w:hAnsi="Georgia"/>
        </w:rPr>
        <w:t xml:space="preserve"> hänvisning till att de sysslar med e-handel på distans. </w:t>
      </w:r>
      <w:r w:rsidR="00A17244" w:rsidRPr="003A1811">
        <w:rPr>
          <w:rFonts w:ascii="Georgia" w:hAnsi="Georgia"/>
        </w:rPr>
        <w:t>Mycket av verksamheten görs i S</w:t>
      </w:r>
      <w:r w:rsidR="00A8693C" w:rsidRPr="003A1811">
        <w:rPr>
          <w:rFonts w:ascii="Georgia" w:hAnsi="Georgia"/>
        </w:rPr>
        <w:t>ve</w:t>
      </w:r>
      <w:r w:rsidR="00A17244" w:rsidRPr="003A1811">
        <w:rPr>
          <w:rFonts w:ascii="Georgia" w:hAnsi="Georgia"/>
        </w:rPr>
        <w:softHyphen/>
      </w:r>
      <w:r w:rsidR="003A1811">
        <w:rPr>
          <w:rFonts w:ascii="Georgia" w:hAnsi="Georgia"/>
        </w:rPr>
        <w:t xml:space="preserve">rige, beställning, betalning, </w:t>
      </w:r>
      <w:r w:rsidR="00A8693C" w:rsidRPr="003A1811">
        <w:rPr>
          <w:rFonts w:ascii="Georgia" w:hAnsi="Georgia"/>
        </w:rPr>
        <w:t>trans</w:t>
      </w:r>
      <w:r w:rsidR="003A1811">
        <w:rPr>
          <w:rFonts w:ascii="Georgia" w:hAnsi="Georgia"/>
        </w:rPr>
        <w:softHyphen/>
      </w:r>
      <w:r w:rsidR="00A8693C" w:rsidRPr="003A1811">
        <w:rPr>
          <w:rFonts w:ascii="Georgia" w:hAnsi="Georgia"/>
        </w:rPr>
        <w:t>port, reklamationer och kundtjänst, liksom tilläggstjänster som råd</w:t>
      </w:r>
      <w:r w:rsidR="00A17244" w:rsidRPr="003A1811">
        <w:rPr>
          <w:rFonts w:ascii="Georgia" w:hAnsi="Georgia"/>
        </w:rPr>
        <w:softHyphen/>
      </w:r>
      <w:r w:rsidR="00A8693C" w:rsidRPr="003A1811">
        <w:rPr>
          <w:rFonts w:ascii="Georgia" w:hAnsi="Georgia"/>
        </w:rPr>
        <w:t>giv</w:t>
      </w:r>
      <w:r w:rsidR="00A17244" w:rsidRPr="003A1811">
        <w:rPr>
          <w:rFonts w:ascii="Georgia" w:hAnsi="Georgia"/>
        </w:rPr>
        <w:softHyphen/>
      </w:r>
      <w:r w:rsidR="00A8693C" w:rsidRPr="003A1811">
        <w:rPr>
          <w:rFonts w:ascii="Georgia" w:hAnsi="Georgia"/>
        </w:rPr>
        <w:t>ning och provningar. E-handelsutred</w:t>
      </w:r>
      <w:r w:rsidR="00790AD2" w:rsidRPr="003A1811">
        <w:rPr>
          <w:rFonts w:ascii="Georgia" w:hAnsi="Georgia"/>
        </w:rPr>
        <w:softHyphen/>
      </w:r>
      <w:r w:rsidR="00A8693C" w:rsidRPr="003A1811">
        <w:rPr>
          <w:rFonts w:ascii="Georgia" w:hAnsi="Georgia"/>
        </w:rPr>
        <w:t>ningens</w:t>
      </w:r>
      <w:r w:rsidR="007D4E6F">
        <w:rPr>
          <w:rFonts w:ascii="Georgia" w:hAnsi="Georgia"/>
        </w:rPr>
        <w:t xml:space="preserve"> (SOU 2013:50)</w:t>
      </w:r>
      <w:r w:rsidR="00A8693C" w:rsidRPr="003A1811">
        <w:rPr>
          <w:rFonts w:ascii="Georgia" w:hAnsi="Georgia"/>
        </w:rPr>
        <w:t xml:space="preserve"> under</w:t>
      </w:r>
      <w:r w:rsidR="00790AD2" w:rsidRPr="003A1811">
        <w:rPr>
          <w:rFonts w:ascii="Georgia" w:hAnsi="Georgia"/>
        </w:rPr>
        <w:softHyphen/>
      </w:r>
      <w:r w:rsidR="00A8693C" w:rsidRPr="003A1811">
        <w:rPr>
          <w:rFonts w:ascii="Georgia" w:hAnsi="Georgia"/>
        </w:rPr>
        <w:t xml:space="preserve">sökning visar att bara en tredjedel av de </w:t>
      </w:r>
      <w:r w:rsidR="000E5154" w:rsidRPr="003A1811">
        <w:rPr>
          <w:rFonts w:ascii="Georgia" w:hAnsi="Georgia"/>
        </w:rPr>
        <w:t xml:space="preserve">svenskar </w:t>
      </w:r>
      <w:r w:rsidR="00A8693C" w:rsidRPr="003A1811">
        <w:rPr>
          <w:rFonts w:ascii="Georgia" w:hAnsi="Georgia"/>
        </w:rPr>
        <w:t xml:space="preserve">som har anlitat företagen upplever att företagen är utländska. </w:t>
      </w:r>
      <w:r w:rsidR="00730ED9" w:rsidRPr="003A1811">
        <w:rPr>
          <w:rFonts w:ascii="Georgia" w:hAnsi="Georgia"/>
        </w:rPr>
        <w:t>Antal företag som är regis</w:t>
      </w:r>
      <w:r w:rsidR="00A17244" w:rsidRPr="003A1811">
        <w:rPr>
          <w:rFonts w:ascii="Georgia" w:hAnsi="Georgia"/>
        </w:rPr>
        <w:softHyphen/>
      </w:r>
      <w:r w:rsidR="00730ED9" w:rsidRPr="003A1811">
        <w:rPr>
          <w:rFonts w:ascii="Georgia" w:hAnsi="Georgia"/>
        </w:rPr>
        <w:t xml:space="preserve">trerade hos Skatteverket har ökat från 21 år 2008 till </w:t>
      </w:r>
      <w:r w:rsidR="00801434" w:rsidRPr="003A1811">
        <w:rPr>
          <w:rFonts w:ascii="Georgia" w:hAnsi="Georgia"/>
        </w:rPr>
        <w:t>78 år 2012</w:t>
      </w:r>
      <w:r w:rsidR="00111230">
        <w:rPr>
          <w:rFonts w:ascii="Georgia" w:hAnsi="Georgia"/>
        </w:rPr>
        <w:t xml:space="preserve"> till 98 1 juli 2014</w:t>
      </w:r>
      <w:r w:rsidR="00111230">
        <w:rPr>
          <w:rStyle w:val="Fotnotsreferens"/>
          <w:rFonts w:ascii="Georgia" w:hAnsi="Georgia"/>
        </w:rPr>
        <w:footnoteReference w:id="1"/>
      </w:r>
      <w:r w:rsidR="00801434" w:rsidRPr="003A1811">
        <w:rPr>
          <w:rFonts w:ascii="Georgia" w:hAnsi="Georgia"/>
        </w:rPr>
        <w:t>. Försäljningen har under samma tid mer än tiodubblats enligt inbetalningarna till Skatteverket.</w:t>
      </w:r>
    </w:p>
    <w:p w:rsidR="00913F66" w:rsidRDefault="000E7C9D" w:rsidP="00772596">
      <w:pPr>
        <w:rPr>
          <w:rFonts w:ascii="Georgia" w:hAnsi="Georgia"/>
        </w:rPr>
      </w:pPr>
      <w:r w:rsidRPr="006F3A30">
        <w:rPr>
          <w:rFonts w:ascii="Georgia" w:hAnsi="Georgia"/>
        </w:rPr>
        <w:t>Än så</w:t>
      </w:r>
      <w:r w:rsidR="00E9390B" w:rsidRPr="006F3A30">
        <w:rPr>
          <w:rFonts w:ascii="Georgia" w:hAnsi="Georgia"/>
        </w:rPr>
        <w:t xml:space="preserve"> länge är försäljningen liten. Men d</w:t>
      </w:r>
      <w:r w:rsidRPr="006F3A30">
        <w:rPr>
          <w:rFonts w:ascii="Georgia" w:hAnsi="Georgia"/>
        </w:rPr>
        <w:t>en växer stadigt.</w:t>
      </w:r>
      <w:r w:rsidR="00D10784">
        <w:rPr>
          <w:rFonts w:ascii="Georgia" w:hAnsi="Georgia"/>
        </w:rPr>
        <w:t xml:space="preserve"> Verksamheten bedrivs med </w:t>
      </w:r>
      <w:r w:rsidR="00E9390B" w:rsidRPr="006F3A30">
        <w:rPr>
          <w:rFonts w:ascii="Georgia" w:hAnsi="Georgia"/>
        </w:rPr>
        <w:t xml:space="preserve">omfattande reklam och marknadsföring, bland annat genom helsidesannonser i dagstidningar. </w:t>
      </w:r>
      <w:r w:rsidR="00FD2192" w:rsidRPr="006F3A30">
        <w:rPr>
          <w:rFonts w:ascii="Georgia" w:hAnsi="Georgia"/>
        </w:rPr>
        <w:t>Förra året började b</w:t>
      </w:r>
      <w:r w:rsidR="006F3A30" w:rsidRPr="006F3A30">
        <w:rPr>
          <w:rFonts w:ascii="Georgia" w:hAnsi="Georgia"/>
        </w:rPr>
        <w:t>u</w:t>
      </w:r>
      <w:r w:rsidR="00FD2192" w:rsidRPr="006F3A30">
        <w:rPr>
          <w:rFonts w:ascii="Georgia" w:hAnsi="Georgia"/>
        </w:rPr>
        <w:t>tikskedjan City</w:t>
      </w:r>
      <w:r w:rsidR="00D10784">
        <w:rPr>
          <w:rFonts w:ascii="Georgia" w:hAnsi="Georgia"/>
        </w:rPr>
        <w:t>-Gross</w:t>
      </w:r>
      <w:r w:rsidR="00913F66">
        <w:rPr>
          <w:rFonts w:ascii="Georgia" w:hAnsi="Georgia"/>
        </w:rPr>
        <w:t xml:space="preserve"> ta</w:t>
      </w:r>
      <w:r w:rsidR="006F3A30" w:rsidRPr="006F3A30">
        <w:rPr>
          <w:rFonts w:ascii="Georgia" w:hAnsi="Georgia"/>
        </w:rPr>
        <w:t xml:space="preserve"> upp alkoho</w:t>
      </w:r>
      <w:r w:rsidR="00D10784">
        <w:rPr>
          <w:rFonts w:ascii="Georgia" w:hAnsi="Georgia"/>
        </w:rPr>
        <w:t>l</w:t>
      </w:r>
      <w:r w:rsidR="006F3A30" w:rsidRPr="006F3A30">
        <w:rPr>
          <w:rFonts w:ascii="Georgia" w:hAnsi="Georgia"/>
        </w:rPr>
        <w:t>beställn</w:t>
      </w:r>
      <w:r w:rsidR="00D10784">
        <w:rPr>
          <w:rFonts w:ascii="Georgia" w:hAnsi="Georgia"/>
        </w:rPr>
        <w:t>ingar från utlandet.  Företaget</w:t>
      </w:r>
      <w:r w:rsidR="006F3A30" w:rsidRPr="006F3A30">
        <w:rPr>
          <w:rFonts w:ascii="Georgia" w:hAnsi="Georgia"/>
        </w:rPr>
        <w:t xml:space="preserve"> tar beta</w:t>
      </w:r>
      <w:r w:rsidR="00D10784">
        <w:rPr>
          <w:rFonts w:ascii="Georgia" w:hAnsi="Georgia"/>
        </w:rPr>
        <w:t xml:space="preserve">lt och levererar alkoholen hem </w:t>
      </w:r>
      <w:r w:rsidR="006F3A30" w:rsidRPr="006F3A30">
        <w:rPr>
          <w:rFonts w:ascii="Georgia" w:hAnsi="Georgia"/>
        </w:rPr>
        <w:t>tillsammans med sina matkassar. Flera andra butikskedjor ligger sannolikt i startgroparna.</w:t>
      </w:r>
    </w:p>
    <w:p w:rsidR="00FD2192" w:rsidRPr="003A1811" w:rsidRDefault="00E9390B" w:rsidP="00772596">
      <w:pPr>
        <w:rPr>
          <w:rFonts w:ascii="Georgia" w:hAnsi="Georgia"/>
        </w:rPr>
      </w:pPr>
      <w:r>
        <w:rPr>
          <w:rFonts w:ascii="Georgia" w:hAnsi="Georgia"/>
        </w:rPr>
        <w:t>Det är helt klart att denna kommersiella alkoholförsäljning under</w:t>
      </w:r>
      <w:r w:rsidR="000E5154" w:rsidRPr="003A1811">
        <w:rPr>
          <w:rFonts w:ascii="Georgia" w:hAnsi="Georgia"/>
        </w:rPr>
        <w:t>gräver detaljhandels</w:t>
      </w:r>
      <w:r w:rsidR="000E5154" w:rsidRPr="003A1811">
        <w:rPr>
          <w:rFonts w:ascii="Georgia" w:hAnsi="Georgia"/>
        </w:rPr>
        <w:softHyphen/>
        <w:t>monopolet. Grund</w:t>
      </w:r>
      <w:r w:rsidR="00193B16" w:rsidRPr="003A1811">
        <w:rPr>
          <w:rFonts w:ascii="Georgia" w:hAnsi="Georgia"/>
        </w:rPr>
        <w:softHyphen/>
      </w:r>
      <w:r w:rsidR="000E5154" w:rsidRPr="003A1811">
        <w:rPr>
          <w:rFonts w:ascii="Georgia" w:hAnsi="Georgia"/>
        </w:rPr>
        <w:t>princi</w:t>
      </w:r>
      <w:r w:rsidR="00193B16" w:rsidRPr="003A1811">
        <w:rPr>
          <w:rFonts w:ascii="Georgia" w:hAnsi="Georgia"/>
        </w:rPr>
        <w:softHyphen/>
      </w:r>
      <w:r w:rsidR="000E5154" w:rsidRPr="003A1811">
        <w:rPr>
          <w:rFonts w:ascii="Georgia" w:hAnsi="Georgia"/>
        </w:rPr>
        <w:t>pen i svensk alkohol</w:t>
      </w:r>
      <w:r w:rsidR="003A1811">
        <w:rPr>
          <w:rFonts w:ascii="Georgia" w:hAnsi="Georgia"/>
        </w:rPr>
        <w:softHyphen/>
      </w:r>
      <w:r w:rsidR="000E5154" w:rsidRPr="003A1811">
        <w:rPr>
          <w:rFonts w:ascii="Georgia" w:hAnsi="Georgia"/>
        </w:rPr>
        <w:t>politik är att alkohol</w:t>
      </w:r>
      <w:r w:rsidR="00A17244" w:rsidRPr="003A1811">
        <w:rPr>
          <w:rFonts w:ascii="Georgia" w:hAnsi="Georgia"/>
        </w:rPr>
        <w:t xml:space="preserve">en </w:t>
      </w:r>
      <w:r w:rsidR="000E5154" w:rsidRPr="003A1811">
        <w:rPr>
          <w:rFonts w:ascii="Georgia" w:hAnsi="Georgia"/>
        </w:rPr>
        <w:t>medför så stora skador att mark</w:t>
      </w:r>
      <w:r w:rsidR="00A17244" w:rsidRPr="003A1811">
        <w:rPr>
          <w:rFonts w:ascii="Georgia" w:hAnsi="Georgia"/>
        </w:rPr>
        <w:softHyphen/>
      </w:r>
      <w:r w:rsidR="000E5154" w:rsidRPr="003A1811">
        <w:rPr>
          <w:rFonts w:ascii="Georgia" w:hAnsi="Georgia"/>
        </w:rPr>
        <w:t>nads</w:t>
      </w:r>
      <w:r w:rsidR="00193B16" w:rsidRPr="003A1811">
        <w:rPr>
          <w:rFonts w:ascii="Georgia" w:hAnsi="Georgia"/>
        </w:rPr>
        <w:softHyphen/>
      </w:r>
      <w:r w:rsidR="00A17244" w:rsidRPr="003A1811">
        <w:rPr>
          <w:rFonts w:ascii="Georgia" w:hAnsi="Georgia"/>
        </w:rPr>
        <w:softHyphen/>
      </w:r>
      <w:r w:rsidR="000E5154" w:rsidRPr="003A1811">
        <w:rPr>
          <w:rFonts w:ascii="Georgia" w:hAnsi="Georgia"/>
        </w:rPr>
        <w:t>krafterna m</w:t>
      </w:r>
      <w:r w:rsidR="00B264AB" w:rsidRPr="003A1811">
        <w:rPr>
          <w:rFonts w:ascii="Georgia" w:hAnsi="Georgia"/>
        </w:rPr>
        <w:t>ed vinst</w:t>
      </w:r>
      <w:r w:rsidR="003A1811">
        <w:rPr>
          <w:rFonts w:ascii="Georgia" w:hAnsi="Georgia"/>
        </w:rPr>
        <w:softHyphen/>
      </w:r>
      <w:r w:rsidR="00B264AB" w:rsidRPr="003A1811">
        <w:rPr>
          <w:rFonts w:ascii="Georgia" w:hAnsi="Georgia"/>
        </w:rPr>
        <w:t>int</w:t>
      </w:r>
      <w:r w:rsidR="003A1811">
        <w:rPr>
          <w:rFonts w:ascii="Georgia" w:hAnsi="Georgia"/>
        </w:rPr>
        <w:softHyphen/>
      </w:r>
      <w:r w:rsidR="00B264AB" w:rsidRPr="003A1811">
        <w:rPr>
          <w:rFonts w:ascii="Georgia" w:hAnsi="Georgia"/>
        </w:rPr>
        <w:t xml:space="preserve">resse och konkurrens ska hållas </w:t>
      </w:r>
      <w:r w:rsidR="00A17244" w:rsidRPr="003A1811">
        <w:rPr>
          <w:rFonts w:ascii="Georgia" w:hAnsi="Georgia"/>
        </w:rPr>
        <w:t>borta</w:t>
      </w:r>
      <w:r w:rsidR="00B264AB" w:rsidRPr="003A1811">
        <w:rPr>
          <w:rFonts w:ascii="Georgia" w:hAnsi="Georgia"/>
        </w:rPr>
        <w:t xml:space="preserve"> från handeln med alkohol. Det är skä</w:t>
      </w:r>
      <w:r w:rsidR="00A17244" w:rsidRPr="003A1811">
        <w:rPr>
          <w:rFonts w:ascii="Georgia" w:hAnsi="Georgia"/>
        </w:rPr>
        <w:softHyphen/>
      </w:r>
      <w:r w:rsidR="00B264AB" w:rsidRPr="003A1811">
        <w:rPr>
          <w:rFonts w:ascii="Georgia" w:hAnsi="Georgia"/>
        </w:rPr>
        <w:t>let til</w:t>
      </w:r>
      <w:r w:rsidR="00A17244" w:rsidRPr="003A1811">
        <w:rPr>
          <w:rFonts w:ascii="Georgia" w:hAnsi="Georgia"/>
        </w:rPr>
        <w:t>l att System</w:t>
      </w:r>
      <w:r w:rsidR="003A1811">
        <w:rPr>
          <w:rFonts w:ascii="Georgia" w:hAnsi="Georgia"/>
        </w:rPr>
        <w:softHyphen/>
      </w:r>
      <w:r w:rsidR="00A17244" w:rsidRPr="003A1811">
        <w:rPr>
          <w:rFonts w:ascii="Georgia" w:hAnsi="Georgia"/>
        </w:rPr>
        <w:t>bolaget finns. D</w:t>
      </w:r>
      <w:r w:rsidR="00B264AB" w:rsidRPr="003A1811">
        <w:rPr>
          <w:rFonts w:ascii="Georgia" w:hAnsi="Georgia"/>
        </w:rPr>
        <w:t>et är mycket viktigt att behålla och skydda monopolet. När detalj</w:t>
      </w:r>
      <w:r w:rsidR="00A17244" w:rsidRPr="003A1811">
        <w:rPr>
          <w:rFonts w:ascii="Georgia" w:hAnsi="Georgia"/>
        </w:rPr>
        <w:softHyphen/>
      </w:r>
      <w:r w:rsidR="00B264AB" w:rsidRPr="003A1811">
        <w:rPr>
          <w:rFonts w:ascii="Georgia" w:hAnsi="Georgia"/>
        </w:rPr>
        <w:t>han</w:t>
      </w:r>
      <w:r w:rsidR="00A17244" w:rsidRPr="003A1811">
        <w:rPr>
          <w:rFonts w:ascii="Georgia" w:hAnsi="Georgia"/>
        </w:rPr>
        <w:softHyphen/>
      </w:r>
      <w:r w:rsidR="00B264AB" w:rsidRPr="003A1811">
        <w:rPr>
          <w:rFonts w:ascii="Georgia" w:hAnsi="Georgia"/>
        </w:rPr>
        <w:t>dels</w:t>
      </w:r>
      <w:r w:rsidR="00A17244" w:rsidRPr="003A1811">
        <w:rPr>
          <w:rFonts w:ascii="Georgia" w:hAnsi="Georgia"/>
        </w:rPr>
        <w:softHyphen/>
      </w:r>
      <w:r w:rsidR="00193B16" w:rsidRPr="003A1811">
        <w:rPr>
          <w:rFonts w:ascii="Georgia" w:hAnsi="Georgia"/>
        </w:rPr>
        <w:softHyphen/>
      </w:r>
      <w:r w:rsidR="00A17244" w:rsidRPr="003A1811">
        <w:rPr>
          <w:rFonts w:ascii="Georgia" w:hAnsi="Georgia"/>
        </w:rPr>
        <w:t>monopol har avskaffats i andra länder</w:t>
      </w:r>
      <w:r w:rsidR="00B264AB" w:rsidRPr="003A1811">
        <w:rPr>
          <w:rFonts w:ascii="Georgia" w:hAnsi="Georgia"/>
        </w:rPr>
        <w:t xml:space="preserve"> har konsumtionen ökat i genomsnitt med över 40 procent.</w:t>
      </w:r>
      <w:r w:rsidR="00111230">
        <w:rPr>
          <w:rStyle w:val="Fotnotsreferens"/>
          <w:rFonts w:ascii="Georgia" w:hAnsi="Georgia"/>
        </w:rPr>
        <w:footnoteReference w:id="2"/>
      </w:r>
    </w:p>
    <w:p w:rsidR="00B264AB" w:rsidRPr="003A1811" w:rsidRDefault="00B264AB" w:rsidP="00772596">
      <w:pPr>
        <w:rPr>
          <w:rFonts w:ascii="Georgia" w:hAnsi="Georgia"/>
        </w:rPr>
      </w:pPr>
      <w:r w:rsidRPr="003A1811">
        <w:rPr>
          <w:rFonts w:ascii="Georgia" w:hAnsi="Georgia"/>
        </w:rPr>
        <w:t xml:space="preserve">E-handlarna och deras svenska försäljningsverksamhet </w:t>
      </w:r>
      <w:r w:rsidR="007A28F9" w:rsidRPr="003A1811">
        <w:rPr>
          <w:rFonts w:ascii="Georgia" w:hAnsi="Georgia"/>
        </w:rPr>
        <w:t>hotar att undergräva monopolet EU-rättsligt om inte den svenska</w:t>
      </w:r>
      <w:r w:rsidR="006503F0" w:rsidRPr="003A1811">
        <w:rPr>
          <w:rFonts w:ascii="Georgia" w:hAnsi="Georgia"/>
        </w:rPr>
        <w:t xml:space="preserve"> lagstiftningen</w:t>
      </w:r>
      <w:r w:rsidR="007A28F9" w:rsidRPr="003A1811">
        <w:rPr>
          <w:rFonts w:ascii="Georgia" w:hAnsi="Georgia"/>
        </w:rPr>
        <w:t xml:space="preserve"> tydliggör</w:t>
      </w:r>
      <w:r w:rsidR="006503F0" w:rsidRPr="003A1811">
        <w:rPr>
          <w:rFonts w:ascii="Georgia" w:hAnsi="Georgia"/>
        </w:rPr>
        <w:t>s.</w:t>
      </w:r>
      <w:r w:rsidR="007A28F9" w:rsidRPr="003A1811">
        <w:rPr>
          <w:rFonts w:ascii="Georgia" w:hAnsi="Georgia"/>
        </w:rPr>
        <w:t xml:space="preserve"> </w:t>
      </w:r>
      <w:r w:rsidR="006503F0" w:rsidRPr="003A1811">
        <w:rPr>
          <w:rFonts w:ascii="Georgia" w:hAnsi="Georgia"/>
        </w:rPr>
        <w:t xml:space="preserve">Därtill </w:t>
      </w:r>
      <w:r w:rsidRPr="003A1811">
        <w:rPr>
          <w:rFonts w:ascii="Georgia" w:hAnsi="Georgia"/>
        </w:rPr>
        <w:t>undergräv</w:t>
      </w:r>
      <w:r w:rsidR="006503F0" w:rsidRPr="003A1811">
        <w:rPr>
          <w:rFonts w:ascii="Georgia" w:hAnsi="Georgia"/>
        </w:rPr>
        <w:t>s</w:t>
      </w:r>
      <w:r w:rsidRPr="003A1811">
        <w:rPr>
          <w:rFonts w:ascii="Georgia" w:hAnsi="Georgia"/>
        </w:rPr>
        <w:t xml:space="preserve"> monopolet i </w:t>
      </w:r>
      <w:r w:rsidR="0049163C" w:rsidRPr="003A1811">
        <w:rPr>
          <w:rFonts w:ascii="Georgia" w:hAnsi="Georgia"/>
        </w:rPr>
        <w:t>allmän</w:t>
      </w:r>
      <w:r w:rsidR="003A1811">
        <w:rPr>
          <w:rFonts w:ascii="Georgia" w:hAnsi="Georgia"/>
        </w:rPr>
        <w:softHyphen/>
      </w:r>
      <w:r w:rsidR="0049163C" w:rsidRPr="003A1811">
        <w:rPr>
          <w:rFonts w:ascii="Georgia" w:hAnsi="Georgia"/>
        </w:rPr>
        <w:t xml:space="preserve">hetens </w:t>
      </w:r>
      <w:r w:rsidRPr="003A1811">
        <w:rPr>
          <w:rFonts w:ascii="Georgia" w:hAnsi="Georgia"/>
        </w:rPr>
        <w:t>ögon</w:t>
      </w:r>
      <w:r w:rsidR="006503F0" w:rsidRPr="003A1811">
        <w:rPr>
          <w:rFonts w:ascii="Georgia" w:hAnsi="Georgia"/>
        </w:rPr>
        <w:t>.</w:t>
      </w:r>
      <w:r w:rsidRPr="003A1811">
        <w:rPr>
          <w:rFonts w:ascii="Georgia" w:hAnsi="Georgia"/>
        </w:rPr>
        <w:t xml:space="preserve"> Flera e-handlare beskriver sig själva som direkta konkurrenter till Systembolaget. </w:t>
      </w:r>
    </w:p>
    <w:p w:rsidR="00772596" w:rsidRDefault="00E53187" w:rsidP="00772596">
      <w:pPr>
        <w:pStyle w:val="Rubrik2"/>
      </w:pPr>
      <w:r>
        <w:t>Tidigare u</w:t>
      </w:r>
      <w:r w:rsidR="00197DBF">
        <w:t>tredningar</w:t>
      </w:r>
    </w:p>
    <w:p w:rsidR="00E53187" w:rsidRDefault="00E53187" w:rsidP="00772596">
      <w:pPr>
        <w:rPr>
          <w:rFonts w:ascii="Georgia" w:hAnsi="Georgia"/>
        </w:rPr>
      </w:pPr>
      <w:r>
        <w:rPr>
          <w:rFonts w:ascii="Georgia" w:hAnsi="Georgia"/>
        </w:rPr>
        <w:t xml:space="preserve">Alkohollagsutredningen, SOU 2009:22, ansåg att problematiken var tydlig redan då. Utredaren föreslog därför att ett förbud mot kommersiell förmedling skulle införas för att förtydliga alkohollagen. Regeringen beslutade dock att inte ta med det förslaget i sin proposition till Riksdagen om ändring av alkohollagen. </w:t>
      </w:r>
    </w:p>
    <w:p w:rsidR="0020603F" w:rsidRPr="007F4682" w:rsidRDefault="00DE4D72" w:rsidP="0020603F">
      <w:pPr>
        <w:rPr>
          <w:rFonts w:ascii="Georgia" w:hAnsi="Georgia"/>
        </w:rPr>
      </w:pPr>
      <w:r w:rsidRPr="003B165B">
        <w:rPr>
          <w:rFonts w:ascii="Georgia" w:hAnsi="Georgia"/>
        </w:rPr>
        <w:t>E-handelsutre</w:t>
      </w:r>
      <w:r w:rsidR="0020586A" w:rsidRPr="003B165B">
        <w:rPr>
          <w:rFonts w:ascii="Georgia" w:hAnsi="Georgia"/>
        </w:rPr>
        <w:t>dningen</w:t>
      </w:r>
      <w:r w:rsidR="00E53187">
        <w:rPr>
          <w:rFonts w:ascii="Georgia" w:hAnsi="Georgia"/>
        </w:rPr>
        <w:t xml:space="preserve">, SOU 2013:50, </w:t>
      </w:r>
      <w:r w:rsidR="007208DE" w:rsidRPr="003B165B">
        <w:rPr>
          <w:rFonts w:ascii="Georgia" w:hAnsi="Georgia"/>
        </w:rPr>
        <w:t>konst</w:t>
      </w:r>
      <w:r w:rsidR="00197DBF" w:rsidRPr="003B165B">
        <w:rPr>
          <w:rFonts w:ascii="Georgia" w:hAnsi="Georgia"/>
        </w:rPr>
        <w:t>aterade</w:t>
      </w:r>
      <w:r w:rsidR="002529E2" w:rsidRPr="003B165B">
        <w:rPr>
          <w:rFonts w:ascii="Georgia" w:hAnsi="Georgia"/>
        </w:rPr>
        <w:t xml:space="preserve"> </w:t>
      </w:r>
      <w:r w:rsidR="007208DE" w:rsidRPr="003B165B">
        <w:rPr>
          <w:rFonts w:ascii="Georgia" w:hAnsi="Georgia"/>
        </w:rPr>
        <w:t>att lagen är oklar. Men den</w:t>
      </w:r>
      <w:r w:rsidR="00D10784">
        <w:rPr>
          <w:rFonts w:ascii="Georgia" w:hAnsi="Georgia"/>
        </w:rPr>
        <w:t xml:space="preserve"> fick inte</w:t>
      </w:r>
      <w:r w:rsidR="0020586A" w:rsidRPr="003B165B">
        <w:rPr>
          <w:rFonts w:ascii="Georgia" w:hAnsi="Georgia"/>
        </w:rPr>
        <w:t xml:space="preserve"> bedöma</w:t>
      </w:r>
      <w:r w:rsidR="008360A5" w:rsidRPr="003B165B">
        <w:rPr>
          <w:rFonts w:ascii="Georgia" w:hAnsi="Georgia"/>
        </w:rPr>
        <w:t xml:space="preserve"> huruvida</w:t>
      </w:r>
      <w:r w:rsidRPr="003B165B">
        <w:rPr>
          <w:rFonts w:ascii="Georgia" w:hAnsi="Georgia"/>
        </w:rPr>
        <w:t xml:space="preserve"> e-handlarnas verksamhet är laglig </w:t>
      </w:r>
      <w:r w:rsidR="0020586A" w:rsidRPr="003B165B">
        <w:rPr>
          <w:rFonts w:ascii="Georgia" w:hAnsi="Georgia"/>
        </w:rPr>
        <w:t>eller hur lagen kan förtydligas eftersom detta inte ingick direktivet.</w:t>
      </w:r>
      <w:r w:rsidRPr="003B165B">
        <w:rPr>
          <w:rFonts w:ascii="Georgia" w:hAnsi="Georgia"/>
        </w:rPr>
        <w:t xml:space="preserve"> </w:t>
      </w:r>
      <w:r w:rsidR="003F18D0">
        <w:rPr>
          <w:rFonts w:ascii="Georgia" w:hAnsi="Georgia"/>
        </w:rPr>
        <w:t xml:space="preserve">Många remissinstanser menade att lagen borde förtydligas och i januari 2014 tillsatte regeringen en ny utredning </w:t>
      </w:r>
      <w:r w:rsidR="00197DBF" w:rsidRPr="0020603F">
        <w:rPr>
          <w:rFonts w:ascii="Georgia" w:hAnsi="Georgia"/>
        </w:rPr>
        <w:t xml:space="preserve">för att </w:t>
      </w:r>
      <w:r w:rsidR="00197DBF" w:rsidRPr="0020603F">
        <w:rPr>
          <w:rFonts w:ascii="Georgia" w:hAnsi="Georgia" w:cs="Times New Roman"/>
        </w:rPr>
        <w:t xml:space="preserve">analysera och bedöma vilka </w:t>
      </w:r>
      <w:r w:rsidR="0020603F">
        <w:rPr>
          <w:rFonts w:ascii="Georgia" w:hAnsi="Georgia" w:cs="Times New Roman"/>
        </w:rPr>
        <w:t xml:space="preserve">regler som kan behövas med anledning av att EU-domstolen tillåtit privatimport av alkohol i Sverige. </w:t>
      </w:r>
    </w:p>
    <w:p w:rsidR="007F4682" w:rsidRDefault="007F4682" w:rsidP="00E20312">
      <w:pPr>
        <w:pStyle w:val="Rubrik2"/>
      </w:pPr>
    </w:p>
    <w:p w:rsidR="00E20312" w:rsidRDefault="00E20312" w:rsidP="00E20312">
      <w:pPr>
        <w:pStyle w:val="Rubrik2"/>
      </w:pPr>
      <w:r>
        <w:t>Kort beskrivning av betänkandet SOU 2014:58 Privat införsel av alkohol</w:t>
      </w:r>
    </w:p>
    <w:p w:rsidR="00E20312" w:rsidRPr="00726E10" w:rsidRDefault="00726E10" w:rsidP="00E20312">
      <w:pPr>
        <w:rPr>
          <w:rFonts w:ascii="Georgia" w:hAnsi="Georgia"/>
        </w:rPr>
      </w:pPr>
      <w:r w:rsidRPr="00726E10">
        <w:rPr>
          <w:rFonts w:ascii="Georgia" w:hAnsi="Georgia"/>
        </w:rPr>
        <w:t>Utredaren Jörgen Hettne la fram sitt betänkande i juli 2014. Betänkandet har skickats på remiss och yttranden ska vara inne senast 31 oktober 2014.</w:t>
      </w:r>
    </w:p>
    <w:p w:rsidR="00726E10" w:rsidRPr="00726E10" w:rsidRDefault="00726E10" w:rsidP="00E20312">
      <w:pPr>
        <w:rPr>
          <w:rFonts w:ascii="Georgia" w:hAnsi="Georgia"/>
        </w:rPr>
      </w:pPr>
      <w:r w:rsidRPr="00726E10">
        <w:rPr>
          <w:rFonts w:ascii="Georgia" w:hAnsi="Georgia"/>
        </w:rPr>
        <w:t>Betänkandet föreslår:</w:t>
      </w:r>
    </w:p>
    <w:p w:rsidR="00726E10" w:rsidRDefault="00726E10" w:rsidP="007F4682">
      <w:pPr>
        <w:pStyle w:val="Liststycke"/>
        <w:numPr>
          <w:ilvl w:val="0"/>
          <w:numId w:val="1"/>
        </w:numPr>
        <w:ind w:left="284" w:hanging="218"/>
        <w:rPr>
          <w:rFonts w:ascii="Georgia" w:hAnsi="Georgia"/>
        </w:rPr>
      </w:pPr>
      <w:r w:rsidRPr="00726E10">
        <w:rPr>
          <w:rFonts w:ascii="Georgia" w:hAnsi="Georgia"/>
        </w:rPr>
        <w:t>Att begreppet ”annan oberoende mellanhand” tas bort ur lagen och att lagen tydligt anger att det enda</w:t>
      </w:r>
      <w:r>
        <w:rPr>
          <w:rFonts w:ascii="Georgia" w:hAnsi="Georgia"/>
        </w:rPr>
        <w:t>st är transport genom yrkesmässig eller privat transportör som kan bistå privatpersoner vid privatimport (Betänkandet s. 75</w:t>
      </w:r>
      <w:r w:rsidR="00085FAB">
        <w:rPr>
          <w:rFonts w:ascii="Georgia" w:hAnsi="Georgia"/>
        </w:rPr>
        <w:t>ff</w:t>
      </w:r>
      <w:r>
        <w:rPr>
          <w:rFonts w:ascii="Georgia" w:hAnsi="Georgia"/>
        </w:rPr>
        <w:t>, sid nummer nedan hänför sig till betänkandet)</w:t>
      </w:r>
    </w:p>
    <w:p w:rsidR="00085FAB" w:rsidRDefault="00085FAB" w:rsidP="007F4682">
      <w:pPr>
        <w:pStyle w:val="Liststycke"/>
        <w:numPr>
          <w:ilvl w:val="0"/>
          <w:numId w:val="1"/>
        </w:numPr>
        <w:ind w:left="284" w:hanging="218"/>
        <w:rPr>
          <w:rFonts w:ascii="Georgia" w:hAnsi="Georgia"/>
        </w:rPr>
      </w:pPr>
      <w:r>
        <w:rPr>
          <w:rFonts w:ascii="Georgia" w:hAnsi="Georgia"/>
        </w:rPr>
        <w:t>Att transportören ska vara oberoende av säljaren (s 75ff)</w:t>
      </w:r>
    </w:p>
    <w:p w:rsidR="00DE0564" w:rsidRDefault="00DE0564" w:rsidP="007F4682">
      <w:pPr>
        <w:pStyle w:val="Liststycke"/>
        <w:numPr>
          <w:ilvl w:val="0"/>
          <w:numId w:val="1"/>
        </w:numPr>
        <w:ind w:left="284" w:hanging="218"/>
        <w:rPr>
          <w:rFonts w:ascii="Georgia" w:hAnsi="Georgia"/>
        </w:rPr>
      </w:pPr>
      <w:r>
        <w:rPr>
          <w:rFonts w:ascii="Georgia" w:hAnsi="Georgia"/>
        </w:rPr>
        <w:t>Att både säljare och köpare bör ha rätt att ombesörja transporten (s 76f)</w:t>
      </w:r>
    </w:p>
    <w:p w:rsidR="00726E10" w:rsidRDefault="00085FAB" w:rsidP="007F4682">
      <w:pPr>
        <w:pStyle w:val="Liststycke"/>
        <w:numPr>
          <w:ilvl w:val="0"/>
          <w:numId w:val="1"/>
        </w:numPr>
        <w:ind w:left="284" w:hanging="218"/>
        <w:rPr>
          <w:rFonts w:ascii="Georgia" w:hAnsi="Georgia"/>
        </w:rPr>
      </w:pPr>
      <w:r>
        <w:rPr>
          <w:rFonts w:ascii="Georgia" w:hAnsi="Georgia"/>
        </w:rPr>
        <w:t>Att införa ett förbud mot att kommersiellt främja privatimport (s 79ff)</w:t>
      </w:r>
    </w:p>
    <w:p w:rsidR="004B650A" w:rsidRDefault="00085FAB" w:rsidP="007F4682">
      <w:pPr>
        <w:pStyle w:val="Liststycke"/>
        <w:numPr>
          <w:ilvl w:val="0"/>
          <w:numId w:val="1"/>
        </w:numPr>
        <w:ind w:left="284" w:hanging="218"/>
        <w:rPr>
          <w:rFonts w:ascii="Georgia" w:hAnsi="Georgia"/>
        </w:rPr>
      </w:pPr>
      <w:r>
        <w:rPr>
          <w:rFonts w:ascii="Georgia" w:hAnsi="Georgia"/>
        </w:rPr>
        <w:t xml:space="preserve">Att säljarna i utlandet undantas från förbudet för kommersiellt främjande, dvs att det ska vara tillåtet för säljarna att </w:t>
      </w:r>
      <w:r w:rsidR="002C4DC8">
        <w:rPr>
          <w:rFonts w:ascii="Georgia" w:hAnsi="Georgia"/>
        </w:rPr>
        <w:t xml:space="preserve">i Sverige </w:t>
      </w:r>
      <w:r>
        <w:rPr>
          <w:rFonts w:ascii="Georgia" w:hAnsi="Georgia"/>
        </w:rPr>
        <w:t>främja försäljningen av sina tjänster och produkter (s 85)</w:t>
      </w:r>
    </w:p>
    <w:p w:rsidR="00085FAB" w:rsidRDefault="004B650A" w:rsidP="007F4682">
      <w:pPr>
        <w:pStyle w:val="Liststycke"/>
        <w:numPr>
          <w:ilvl w:val="0"/>
          <w:numId w:val="1"/>
        </w:numPr>
        <w:ind w:left="284" w:hanging="218"/>
        <w:rPr>
          <w:rFonts w:ascii="Georgia" w:hAnsi="Georgia"/>
        </w:rPr>
      </w:pPr>
      <w:r>
        <w:rPr>
          <w:rFonts w:ascii="Georgia" w:hAnsi="Georgia"/>
        </w:rPr>
        <w:t>Att leverans endast får ske under tider då försäljning är tillåten för Systembolaget</w:t>
      </w:r>
      <w:r w:rsidR="00085FAB">
        <w:rPr>
          <w:rFonts w:ascii="Georgia" w:hAnsi="Georgia"/>
        </w:rPr>
        <w:t xml:space="preserve"> </w:t>
      </w:r>
      <w:r>
        <w:rPr>
          <w:rFonts w:ascii="Georgia" w:hAnsi="Georgia"/>
        </w:rPr>
        <w:t>och till privata adresser (s 96ff)</w:t>
      </w:r>
    </w:p>
    <w:p w:rsidR="00085FAB" w:rsidRDefault="00FF3E0D" w:rsidP="007F4682">
      <w:pPr>
        <w:pStyle w:val="Liststycke"/>
        <w:numPr>
          <w:ilvl w:val="0"/>
          <w:numId w:val="1"/>
        </w:numPr>
        <w:ind w:left="284" w:hanging="218"/>
        <w:rPr>
          <w:rFonts w:ascii="Georgia" w:hAnsi="Georgia"/>
        </w:rPr>
      </w:pPr>
      <w:r>
        <w:rPr>
          <w:rFonts w:ascii="Georgia" w:hAnsi="Georgia"/>
        </w:rPr>
        <w:t>Att tillsyn utövas av kommunerna enligt förslag i E-handelsutredningen SOU 2013:50 (s 101f)</w:t>
      </w:r>
    </w:p>
    <w:p w:rsidR="00FF3E0D" w:rsidRDefault="00FF3E0D" w:rsidP="007F4682">
      <w:pPr>
        <w:pStyle w:val="Liststycke"/>
        <w:numPr>
          <w:ilvl w:val="0"/>
          <w:numId w:val="1"/>
        </w:numPr>
        <w:ind w:left="284" w:hanging="218"/>
        <w:rPr>
          <w:rFonts w:ascii="Georgia" w:hAnsi="Georgia"/>
        </w:rPr>
      </w:pPr>
      <w:r>
        <w:rPr>
          <w:rFonts w:ascii="Georgia" w:hAnsi="Georgia"/>
        </w:rPr>
        <w:t xml:space="preserve">Att yrkesmässig transportör får skyldighet att anmäla verksamheten till den kommun där näringsidkaren har sitt säte, eller om säte saknas i Sverige, till Stockholms kommun </w:t>
      </w:r>
    </w:p>
    <w:p w:rsidR="008F0222" w:rsidRDefault="008F0222" w:rsidP="008F0222">
      <w:pPr>
        <w:pStyle w:val="Rubrik3"/>
      </w:pPr>
      <w:r>
        <w:t>Svensk alkoholpolitik och begränsning av privata vinstintressen</w:t>
      </w:r>
    </w:p>
    <w:p w:rsidR="00A12692" w:rsidRDefault="008F0222" w:rsidP="00A12692">
      <w:pPr>
        <w:rPr>
          <w:rFonts w:ascii="Georgia" w:hAnsi="Georgia"/>
        </w:rPr>
      </w:pPr>
      <w:r>
        <w:rPr>
          <w:rFonts w:ascii="Georgia" w:hAnsi="Georgia"/>
        </w:rPr>
        <w:t xml:space="preserve">Utredningen konstaterar att målet för den svenska alkoholpolitiken är att begränsa alkoholens </w:t>
      </w:r>
      <w:r w:rsidRPr="008F0222">
        <w:rPr>
          <w:rFonts w:ascii="Georgia" w:hAnsi="Georgia"/>
        </w:rPr>
        <w:t>skadeverkningar genom att minska den totala konsumtionen</w:t>
      </w:r>
      <w:r w:rsidR="00A12692">
        <w:rPr>
          <w:rFonts w:ascii="Georgia" w:hAnsi="Georgia"/>
        </w:rPr>
        <w:t xml:space="preserve"> och att e</w:t>
      </w:r>
      <w:r w:rsidRPr="008F0222">
        <w:rPr>
          <w:rFonts w:ascii="Georgia" w:hAnsi="Georgia"/>
        </w:rPr>
        <w:t>n bärande tanke i alkoholpolitiken har alltsedan 1900-talets början</w:t>
      </w:r>
      <w:r>
        <w:rPr>
          <w:rFonts w:ascii="Georgia" w:hAnsi="Georgia"/>
        </w:rPr>
        <w:t xml:space="preserve"> </w:t>
      </w:r>
      <w:r w:rsidRPr="008F0222">
        <w:rPr>
          <w:rFonts w:ascii="Georgia" w:hAnsi="Georgia"/>
        </w:rPr>
        <w:t>varit desintresseringsprincipen, dvs. att begränsa de privata vinstintressena</w:t>
      </w:r>
      <w:r>
        <w:rPr>
          <w:rFonts w:ascii="Georgia" w:hAnsi="Georgia"/>
        </w:rPr>
        <w:t xml:space="preserve"> </w:t>
      </w:r>
      <w:r w:rsidRPr="008F0222">
        <w:rPr>
          <w:rFonts w:ascii="Georgia" w:hAnsi="Georgia"/>
        </w:rPr>
        <w:t>i alkoholhanteringen</w:t>
      </w:r>
      <w:r>
        <w:rPr>
          <w:rFonts w:ascii="Georgia" w:hAnsi="Georgia"/>
        </w:rPr>
        <w:t xml:space="preserve">. </w:t>
      </w:r>
      <w:r w:rsidR="00A12692">
        <w:rPr>
          <w:rFonts w:ascii="Georgia" w:hAnsi="Georgia"/>
        </w:rPr>
        <w:t xml:space="preserve">Detaljhandelsmonopolet är, </w:t>
      </w:r>
      <w:r w:rsidR="00A12692" w:rsidRPr="00A12692">
        <w:rPr>
          <w:rFonts w:ascii="Georgia" w:hAnsi="Georgia"/>
        </w:rPr>
        <w:t>vid sidan av alkoholskatten, det viktigaste verktyget för</w:t>
      </w:r>
      <w:r w:rsidR="00A12692">
        <w:rPr>
          <w:rFonts w:ascii="Georgia" w:hAnsi="Georgia"/>
        </w:rPr>
        <w:t xml:space="preserve"> </w:t>
      </w:r>
      <w:r w:rsidR="00A12692" w:rsidRPr="00A12692">
        <w:rPr>
          <w:rFonts w:ascii="Georgia" w:hAnsi="Georgia"/>
        </w:rPr>
        <w:t>att nå den svenska alkoholpolitikens mål</w:t>
      </w:r>
      <w:r w:rsidR="00A12692">
        <w:rPr>
          <w:rFonts w:ascii="Georgia" w:hAnsi="Georgia"/>
        </w:rPr>
        <w:t>. (s 29-30)</w:t>
      </w:r>
    </w:p>
    <w:p w:rsidR="008775FE" w:rsidRDefault="008775FE" w:rsidP="00E00B3A">
      <w:pPr>
        <w:rPr>
          <w:rFonts w:ascii="Georgia" w:hAnsi="Georgia"/>
        </w:rPr>
      </w:pPr>
      <w:r>
        <w:rPr>
          <w:rFonts w:ascii="Georgia" w:hAnsi="Georgia"/>
        </w:rPr>
        <w:t xml:space="preserve">Utredningen konstaterar vidare att det </w:t>
      </w:r>
      <w:r w:rsidR="00433235">
        <w:rPr>
          <w:rFonts w:ascii="Georgia" w:hAnsi="Georgia"/>
        </w:rPr>
        <w:t>finns ett starkt vetenskapligt stöd</w:t>
      </w:r>
      <w:r>
        <w:rPr>
          <w:rFonts w:ascii="Georgia" w:hAnsi="Georgia"/>
        </w:rPr>
        <w:t xml:space="preserve"> för a</w:t>
      </w:r>
      <w:r w:rsidR="00433235">
        <w:rPr>
          <w:rFonts w:ascii="Georgia" w:hAnsi="Georgia"/>
        </w:rPr>
        <w:t xml:space="preserve">tt monopol på alkoholförsäljning har positiva alkoholpolitiska effekter. En privatisering gör bland annat grupper med lägre socioekonomisk standard mer sårbara. Tillflödet av aktörer med vinstintresse vid en privatisering medför också ett tryck på att reducera restriktioner på alkoholmarknaden. Utredningen pekar på att flera sammanställningar gjorts i den vetenskapliga litteraturen av följderna av avskaffat monopol och att effekterna av ett avskaffande kan antas bli tydligt negativa när det gäller alkoholrelaterade skador och ökad brottslighet som rattfylleri och våldsbrott. </w:t>
      </w:r>
      <w:r w:rsidR="00E00B3A">
        <w:rPr>
          <w:rFonts w:ascii="Georgia" w:hAnsi="Georgia"/>
        </w:rPr>
        <w:t>Utredningen menar därför att v</w:t>
      </w:r>
      <w:r w:rsidR="00E00B3A" w:rsidRPr="00E00B3A">
        <w:rPr>
          <w:rFonts w:ascii="Georgia" w:hAnsi="Georgia"/>
        </w:rPr>
        <w:t>arje beräkning av</w:t>
      </w:r>
      <w:r w:rsidR="00E00B3A">
        <w:rPr>
          <w:rFonts w:ascii="Georgia" w:hAnsi="Georgia"/>
        </w:rPr>
        <w:t xml:space="preserve"> </w:t>
      </w:r>
      <w:r w:rsidR="00E00B3A" w:rsidRPr="00E00B3A">
        <w:rPr>
          <w:rFonts w:ascii="Georgia" w:hAnsi="Georgia"/>
        </w:rPr>
        <w:t>näringens potentiella vinster med ett slopat detaljhandelsmonopol</w:t>
      </w:r>
      <w:r w:rsidR="00E00B3A">
        <w:rPr>
          <w:rFonts w:ascii="Georgia" w:hAnsi="Georgia"/>
        </w:rPr>
        <w:t xml:space="preserve"> </w:t>
      </w:r>
      <w:r w:rsidR="00E00B3A" w:rsidRPr="00E00B3A">
        <w:rPr>
          <w:rFonts w:ascii="Georgia" w:hAnsi="Georgia"/>
        </w:rPr>
        <w:t>för a</w:t>
      </w:r>
      <w:r w:rsidR="00E00B3A">
        <w:rPr>
          <w:rFonts w:ascii="Georgia" w:hAnsi="Georgia"/>
        </w:rPr>
        <w:t xml:space="preserve">lkohol bör </w:t>
      </w:r>
      <w:r w:rsidR="00E00B3A" w:rsidRPr="00E00B3A">
        <w:rPr>
          <w:rFonts w:ascii="Georgia" w:hAnsi="Georgia"/>
        </w:rPr>
        <w:t>balanseras mot</w:t>
      </w:r>
      <w:r w:rsidR="00E00B3A">
        <w:rPr>
          <w:rFonts w:ascii="Georgia" w:hAnsi="Georgia"/>
        </w:rPr>
        <w:t xml:space="preserve"> ökade samhällskostnader, t.ex. </w:t>
      </w:r>
      <w:r w:rsidR="00E00B3A" w:rsidRPr="00E00B3A">
        <w:rPr>
          <w:rFonts w:ascii="Georgia" w:hAnsi="Georgia"/>
        </w:rPr>
        <w:t>för sjukvård, men även avseende mänskligt lidande</w:t>
      </w:r>
      <w:r w:rsidR="00E00B3A">
        <w:rPr>
          <w:rFonts w:ascii="Georgia" w:hAnsi="Georgia"/>
        </w:rPr>
        <w:t xml:space="preserve">. Även med ett hårt reglerat privat system för alkoholförsäljning, </w:t>
      </w:r>
      <w:r w:rsidR="00E00B3A" w:rsidRPr="00E00B3A">
        <w:rPr>
          <w:rFonts w:ascii="Georgia" w:hAnsi="Georgia"/>
        </w:rPr>
        <w:t>utgör det kommersiella</w:t>
      </w:r>
      <w:r w:rsidR="00E00B3A">
        <w:rPr>
          <w:rFonts w:ascii="Georgia" w:hAnsi="Georgia"/>
        </w:rPr>
        <w:t xml:space="preserve"> </w:t>
      </w:r>
      <w:r w:rsidR="00E00B3A" w:rsidRPr="00E00B3A">
        <w:rPr>
          <w:rFonts w:ascii="Georgia" w:hAnsi="Georgia"/>
        </w:rPr>
        <w:t>intresset en stark mekanism som riskerar att undergräva</w:t>
      </w:r>
      <w:r w:rsidR="00E00B3A">
        <w:rPr>
          <w:rFonts w:ascii="Georgia" w:hAnsi="Georgia"/>
        </w:rPr>
        <w:t xml:space="preserve"> </w:t>
      </w:r>
      <w:r w:rsidR="00E00B3A" w:rsidRPr="00E00B3A">
        <w:rPr>
          <w:rFonts w:ascii="Georgia" w:hAnsi="Georgia"/>
        </w:rPr>
        <w:t>folkhälsan</w:t>
      </w:r>
      <w:r w:rsidR="00E00B3A">
        <w:rPr>
          <w:rFonts w:ascii="Georgia" w:hAnsi="Georgia"/>
        </w:rPr>
        <w:t>, menar utredningen. (s 117-118)</w:t>
      </w:r>
    </w:p>
    <w:p w:rsidR="006661F6" w:rsidRDefault="006661F6" w:rsidP="00001B77">
      <w:pPr>
        <w:pStyle w:val="Rubrik3"/>
      </w:pPr>
      <w:r>
        <w:t>EU-rätt</w:t>
      </w:r>
      <w:r w:rsidR="005244E4">
        <w:t xml:space="preserve">en om monopol och begränsning av vinstintresse för </w:t>
      </w:r>
      <w:r>
        <w:t>spel</w:t>
      </w:r>
    </w:p>
    <w:p w:rsidR="00001B77" w:rsidRPr="00001B77" w:rsidRDefault="00001B77" w:rsidP="00462020">
      <w:pPr>
        <w:rPr>
          <w:rFonts w:ascii="Georgia" w:hAnsi="Georgia"/>
        </w:rPr>
      </w:pPr>
      <w:r w:rsidRPr="00001B77">
        <w:rPr>
          <w:rFonts w:ascii="Georgia" w:hAnsi="Georgia"/>
        </w:rPr>
        <w:t xml:space="preserve">Utredningen </w:t>
      </w:r>
      <w:r>
        <w:rPr>
          <w:rFonts w:ascii="Georgia" w:hAnsi="Georgia"/>
        </w:rPr>
        <w:t>pekar på att</w:t>
      </w:r>
      <w:r w:rsidR="00EC76BB">
        <w:rPr>
          <w:rFonts w:ascii="Georgia" w:hAnsi="Georgia"/>
        </w:rPr>
        <w:t xml:space="preserve"> EU-domstolen anser att begränsning</w:t>
      </w:r>
      <w:r>
        <w:rPr>
          <w:rFonts w:ascii="Georgia" w:hAnsi="Georgia"/>
        </w:rPr>
        <w:t xml:space="preserve"> av </w:t>
      </w:r>
      <w:r w:rsidR="00EC76BB">
        <w:rPr>
          <w:rFonts w:ascii="Georgia" w:hAnsi="Georgia"/>
        </w:rPr>
        <w:t xml:space="preserve">privat </w:t>
      </w:r>
      <w:r>
        <w:rPr>
          <w:rFonts w:ascii="Georgia" w:hAnsi="Georgia"/>
        </w:rPr>
        <w:t xml:space="preserve">vinstintresse är en EU-rättslig grund för att upprätthålla monopol och att ett förbud mot att främja utländska aktörer med vinstintresse är förenlig med EU-rätten. </w:t>
      </w:r>
      <w:r w:rsidR="00AE45AC" w:rsidRPr="00AE45AC">
        <w:rPr>
          <w:rFonts w:ascii="Georgia" w:hAnsi="Georgia"/>
        </w:rPr>
        <w:t xml:space="preserve">I </w:t>
      </w:r>
      <w:r w:rsidR="00AE45AC">
        <w:rPr>
          <w:rFonts w:ascii="Georgia" w:hAnsi="Georgia"/>
        </w:rPr>
        <w:t xml:space="preserve">ett mål om den svenska spelregleringen, </w:t>
      </w:r>
      <w:r w:rsidR="00AE45AC" w:rsidRPr="00AE45AC">
        <w:rPr>
          <w:rFonts w:ascii="Georgia" w:hAnsi="Georgia"/>
        </w:rPr>
        <w:t>Sjöberg och Gerdin</w:t>
      </w:r>
      <w:r w:rsidR="00AE45AC">
        <w:rPr>
          <w:rFonts w:ascii="Georgia" w:hAnsi="Georgia"/>
        </w:rPr>
        <w:t>,</w:t>
      </w:r>
      <w:r w:rsidR="00AE45AC" w:rsidRPr="00AE45AC">
        <w:rPr>
          <w:rFonts w:ascii="Georgia" w:hAnsi="Georgia"/>
        </w:rPr>
        <w:t xml:space="preserve"> fann EU</w:t>
      </w:r>
      <w:r w:rsidR="00AE45AC">
        <w:rPr>
          <w:rFonts w:ascii="Georgia" w:hAnsi="Georgia"/>
        </w:rPr>
        <w:t>-</w:t>
      </w:r>
      <w:r w:rsidR="00AE45AC" w:rsidRPr="00AE45AC">
        <w:rPr>
          <w:rFonts w:ascii="Georgia" w:hAnsi="Georgia"/>
        </w:rPr>
        <w:t>domstolen</w:t>
      </w:r>
      <w:r w:rsidR="00AE45AC">
        <w:rPr>
          <w:rFonts w:ascii="Georgia" w:hAnsi="Georgia"/>
        </w:rPr>
        <w:t xml:space="preserve"> </w:t>
      </w:r>
      <w:r w:rsidR="00AE45AC" w:rsidRPr="00AE45AC">
        <w:rPr>
          <w:rFonts w:ascii="Georgia" w:hAnsi="Georgia"/>
        </w:rPr>
        <w:t xml:space="preserve">att Sverige hade rätt att </w:t>
      </w:r>
      <w:r w:rsidR="00AE45AC">
        <w:rPr>
          <w:rFonts w:ascii="Georgia" w:hAnsi="Georgia"/>
        </w:rPr>
        <w:t xml:space="preserve">utesluta privata vinstintressen </w:t>
      </w:r>
      <w:r w:rsidR="00AE45AC" w:rsidRPr="00AE45AC">
        <w:rPr>
          <w:rFonts w:ascii="Georgia" w:hAnsi="Georgia"/>
        </w:rPr>
        <w:t>från den svenska spelmarknaden och att det därför var legitimt att</w:t>
      </w:r>
      <w:r w:rsidR="00AE45AC">
        <w:rPr>
          <w:rFonts w:ascii="Georgia" w:hAnsi="Georgia"/>
        </w:rPr>
        <w:t xml:space="preserve"> </w:t>
      </w:r>
      <w:r w:rsidR="00AE45AC" w:rsidRPr="00AE45AC">
        <w:rPr>
          <w:rFonts w:ascii="Georgia" w:hAnsi="Georgia"/>
        </w:rPr>
        <w:t>de statliga bolagen samt ideella organisationer med tillstånd, när det</w:t>
      </w:r>
      <w:r w:rsidR="00AE45AC">
        <w:rPr>
          <w:rFonts w:ascii="Georgia" w:hAnsi="Georgia"/>
        </w:rPr>
        <w:t xml:space="preserve"> </w:t>
      </w:r>
      <w:r w:rsidR="00AE45AC" w:rsidRPr="00AE45AC">
        <w:rPr>
          <w:rFonts w:ascii="Georgia" w:hAnsi="Georgia"/>
        </w:rPr>
        <w:t xml:space="preserve">gäller vissa former av spel, var de enda lagliga aktörerna på </w:t>
      </w:r>
      <w:r w:rsidR="00AE45AC" w:rsidRPr="00AE45AC">
        <w:rPr>
          <w:rFonts w:ascii="Georgia" w:hAnsi="Georgia"/>
        </w:rPr>
        <w:lastRenderedPageBreak/>
        <w:t>den</w:t>
      </w:r>
      <w:r w:rsidR="00AE45AC">
        <w:rPr>
          <w:rFonts w:ascii="Georgia" w:hAnsi="Georgia"/>
        </w:rPr>
        <w:t xml:space="preserve"> </w:t>
      </w:r>
      <w:r w:rsidR="00AE45AC" w:rsidRPr="00AE45AC">
        <w:rPr>
          <w:rFonts w:ascii="Georgia" w:hAnsi="Georgia"/>
        </w:rPr>
        <w:t>svenska marknaden.</w:t>
      </w:r>
      <w:r w:rsidR="00AE45AC">
        <w:rPr>
          <w:rFonts w:ascii="Georgia" w:hAnsi="Georgia"/>
        </w:rPr>
        <w:t xml:space="preserve"> </w:t>
      </w:r>
      <w:r w:rsidR="00B52D87">
        <w:rPr>
          <w:rFonts w:ascii="Georgia" w:hAnsi="Georgia"/>
        </w:rPr>
        <w:t>När det gäller främjandeförbudet i den svenska spellagstiftningen, som förbjuder främjande av spel som anordnas i utlandet, konstaterar domstolen</w:t>
      </w:r>
      <w:r w:rsidR="00F305BD">
        <w:rPr>
          <w:rFonts w:ascii="Georgia" w:hAnsi="Georgia"/>
        </w:rPr>
        <w:t xml:space="preserve"> </w:t>
      </w:r>
      <w:r w:rsidR="00B52D87">
        <w:rPr>
          <w:rFonts w:ascii="Georgia" w:hAnsi="Georgia"/>
        </w:rPr>
        <w:t xml:space="preserve">att </w:t>
      </w:r>
      <w:r w:rsidR="00F305BD">
        <w:rPr>
          <w:rFonts w:ascii="Georgia" w:hAnsi="Georgia"/>
        </w:rPr>
        <w:t xml:space="preserve">syftet är att </w:t>
      </w:r>
      <w:r w:rsidR="00B52D87" w:rsidRPr="00B52D87">
        <w:rPr>
          <w:rFonts w:ascii="Georgia" w:hAnsi="Georgia"/>
        </w:rPr>
        <w:t>de svenska konsumenterna endast ska ägna sig</w:t>
      </w:r>
      <w:r w:rsidR="00F305BD">
        <w:rPr>
          <w:rFonts w:ascii="Georgia" w:hAnsi="Georgia"/>
        </w:rPr>
        <w:t xml:space="preserve"> </w:t>
      </w:r>
      <w:r w:rsidR="00B52D87" w:rsidRPr="00B52D87">
        <w:rPr>
          <w:rFonts w:ascii="Georgia" w:hAnsi="Georgia"/>
        </w:rPr>
        <w:t xml:space="preserve">åt hasardspel </w:t>
      </w:r>
      <w:r w:rsidR="00F305BD">
        <w:rPr>
          <w:rFonts w:ascii="Georgia" w:hAnsi="Georgia"/>
        </w:rPr>
        <w:t>s</w:t>
      </w:r>
      <w:r w:rsidR="00B52D87" w:rsidRPr="00B52D87">
        <w:rPr>
          <w:rFonts w:ascii="Georgia" w:hAnsi="Georgia"/>
        </w:rPr>
        <w:t>om godkänts nationellt,</w:t>
      </w:r>
      <w:r w:rsidR="00F305BD">
        <w:rPr>
          <w:rFonts w:ascii="Georgia" w:hAnsi="Georgia"/>
        </w:rPr>
        <w:t xml:space="preserve"> </w:t>
      </w:r>
      <w:r w:rsidR="00B52D87" w:rsidRPr="00B52D87">
        <w:rPr>
          <w:rFonts w:ascii="Georgia" w:hAnsi="Georgia"/>
        </w:rPr>
        <w:t xml:space="preserve">vilket </w:t>
      </w:r>
      <w:r w:rsidR="00F305BD">
        <w:rPr>
          <w:rFonts w:ascii="Georgia" w:hAnsi="Georgia"/>
        </w:rPr>
        <w:t>bland annat</w:t>
      </w:r>
      <w:r w:rsidR="00B52D87" w:rsidRPr="00B52D87">
        <w:rPr>
          <w:rFonts w:ascii="Georgia" w:hAnsi="Georgia"/>
        </w:rPr>
        <w:t xml:space="preserve"> säkerställer att priva</w:t>
      </w:r>
      <w:r w:rsidR="00F305BD">
        <w:rPr>
          <w:rFonts w:ascii="Georgia" w:hAnsi="Georgia"/>
        </w:rPr>
        <w:t>ta vinstintressen utesluts</w:t>
      </w:r>
      <w:r w:rsidR="00B52D87" w:rsidRPr="00B52D87">
        <w:rPr>
          <w:rFonts w:ascii="Georgia" w:hAnsi="Georgia"/>
        </w:rPr>
        <w:t>.</w:t>
      </w:r>
      <w:r w:rsidR="00462020">
        <w:rPr>
          <w:rFonts w:ascii="Georgia" w:hAnsi="Georgia"/>
        </w:rPr>
        <w:t xml:space="preserve"> Domstolen påpekade att strängt begränsa hasardspel i vinstintresse har godtagits i rättspraxis. Det är enligt EU-rätten </w:t>
      </w:r>
      <w:r w:rsidR="00462020" w:rsidRPr="00462020">
        <w:rPr>
          <w:rFonts w:ascii="Georgia" w:hAnsi="Georgia"/>
        </w:rPr>
        <w:t>tillåtet för en medlemsstat</w:t>
      </w:r>
      <w:r w:rsidR="00462020">
        <w:rPr>
          <w:rFonts w:ascii="Georgia" w:hAnsi="Georgia"/>
        </w:rPr>
        <w:t xml:space="preserve"> </w:t>
      </w:r>
      <w:r w:rsidR="00462020" w:rsidRPr="00462020">
        <w:rPr>
          <w:rFonts w:ascii="Georgia" w:hAnsi="Georgia"/>
        </w:rPr>
        <w:t>att begränsa anordnandet av hasardspel och att förbehålla offentliga</w:t>
      </w:r>
      <w:r w:rsidR="00462020">
        <w:rPr>
          <w:rFonts w:ascii="Georgia" w:hAnsi="Georgia"/>
        </w:rPr>
        <w:t xml:space="preserve"> </w:t>
      </w:r>
      <w:r w:rsidR="00462020" w:rsidRPr="00462020">
        <w:rPr>
          <w:rFonts w:ascii="Georgia" w:hAnsi="Georgia"/>
        </w:rPr>
        <w:t>organ eller allmännyttiga organisationer anordnandet av sådana spel.</w:t>
      </w:r>
      <w:r w:rsidR="00462020">
        <w:rPr>
          <w:rFonts w:ascii="Georgia" w:hAnsi="Georgia"/>
        </w:rPr>
        <w:t xml:space="preserve"> </w:t>
      </w:r>
      <w:r w:rsidR="00462020" w:rsidRPr="00462020">
        <w:rPr>
          <w:rFonts w:ascii="Georgia" w:hAnsi="Georgia"/>
        </w:rPr>
        <w:t>Domstolen fann att det svenska förbudet mot att främja de tjänster</w:t>
      </w:r>
      <w:r w:rsidR="00462020">
        <w:rPr>
          <w:rFonts w:ascii="Georgia" w:hAnsi="Georgia"/>
        </w:rPr>
        <w:t xml:space="preserve"> </w:t>
      </w:r>
      <w:r w:rsidR="00462020" w:rsidRPr="00462020">
        <w:rPr>
          <w:rFonts w:ascii="Georgia" w:hAnsi="Georgia"/>
        </w:rPr>
        <w:t>som utländska spelbolag tillhandahåller konsumenter som är bosatta</w:t>
      </w:r>
      <w:r w:rsidR="00462020">
        <w:rPr>
          <w:rFonts w:ascii="Georgia" w:hAnsi="Georgia"/>
        </w:rPr>
        <w:t xml:space="preserve"> </w:t>
      </w:r>
      <w:r w:rsidR="00462020" w:rsidRPr="00462020">
        <w:rPr>
          <w:rFonts w:ascii="Georgia" w:hAnsi="Georgia"/>
        </w:rPr>
        <w:t>i Sverige svarade mot målet att utesluta privata vinstintressen och att förbudet kunde anses nö</w:t>
      </w:r>
      <w:r w:rsidR="00462020">
        <w:rPr>
          <w:rFonts w:ascii="Georgia" w:hAnsi="Georgia"/>
        </w:rPr>
        <w:t xml:space="preserve">dvändigt för </w:t>
      </w:r>
      <w:r w:rsidR="00462020" w:rsidRPr="00462020">
        <w:rPr>
          <w:rFonts w:ascii="Georgia" w:hAnsi="Georgia"/>
        </w:rPr>
        <w:t>att uppnå detta mål.</w:t>
      </w:r>
      <w:r w:rsidR="00462020">
        <w:rPr>
          <w:rFonts w:ascii="Georgia" w:hAnsi="Georgia"/>
        </w:rPr>
        <w:t xml:space="preserve"> Utredningen konstaterar att EU-rättens resonemang inte enbart gäller spelområdet utan har en allmän betydelse, till exempel för nationell alkoholpolitik. (s 48-49)</w:t>
      </w:r>
    </w:p>
    <w:p w:rsidR="006661F6" w:rsidRDefault="006661F6" w:rsidP="005244E4">
      <w:pPr>
        <w:pStyle w:val="Rubrik3"/>
      </w:pPr>
      <w:r>
        <w:t>Rosengrendomen</w:t>
      </w:r>
      <w:r w:rsidR="005244E4">
        <w:t xml:space="preserve"> </w:t>
      </w:r>
    </w:p>
    <w:p w:rsidR="009C0FCA" w:rsidRDefault="009C0FCA" w:rsidP="00771BAD">
      <w:pPr>
        <w:rPr>
          <w:rFonts w:ascii="Georgia" w:hAnsi="Georgia"/>
        </w:rPr>
      </w:pPr>
      <w:r>
        <w:rPr>
          <w:rFonts w:ascii="Georgia" w:hAnsi="Georgia"/>
        </w:rPr>
        <w:t xml:space="preserve">Utredningen konstaterar att EU-domstolens dom i det så kallade Rosengrenmålet vidgade förutsättningarna för privat införsel av alkohol till Sverige. Domstolen fann att privat införsel av alkohol inte får hindras och Sverige måste därför avskaffa sitt förbud mot privatimport. Men att skapa en alternativ försäljningskanal vid sidan om Systembolaget var det inte fråga om, eftersom villkoren för detaljhandel i Sverige då har förändrats från grunden. </w:t>
      </w:r>
      <w:r w:rsidR="00771BAD">
        <w:rPr>
          <w:rFonts w:ascii="Georgia" w:hAnsi="Georgia"/>
        </w:rPr>
        <w:t xml:space="preserve">Utredningen menar att EU-rätten ger utrymme att förbjuda verksamhet </w:t>
      </w:r>
      <w:r w:rsidR="00771BAD" w:rsidRPr="00771BAD">
        <w:rPr>
          <w:rFonts w:ascii="Georgia" w:hAnsi="Georgia"/>
        </w:rPr>
        <w:t>som innebär försäljnin</w:t>
      </w:r>
      <w:r w:rsidR="00771BAD">
        <w:rPr>
          <w:rFonts w:ascii="Georgia" w:hAnsi="Georgia"/>
        </w:rPr>
        <w:t xml:space="preserve">g av alkoholdrycker i Sverige i </w:t>
      </w:r>
      <w:r w:rsidR="00771BAD" w:rsidRPr="00771BAD">
        <w:rPr>
          <w:rFonts w:ascii="Georgia" w:hAnsi="Georgia"/>
        </w:rPr>
        <w:t>strid med detaljhandelsmonopolet</w:t>
      </w:r>
      <w:r w:rsidR="00771BAD">
        <w:rPr>
          <w:rFonts w:ascii="Georgia" w:hAnsi="Georgia"/>
        </w:rPr>
        <w:t xml:space="preserve"> och att införa restriktioner vid privatinförsel om restriktionerna syftar till att </w:t>
      </w:r>
      <w:r w:rsidR="00771BAD" w:rsidRPr="00771BAD">
        <w:rPr>
          <w:rFonts w:ascii="Georgia" w:hAnsi="Georgia"/>
        </w:rPr>
        <w:t>säkerställa överensstämmelse med sv</w:t>
      </w:r>
      <w:r w:rsidR="00771BAD">
        <w:rPr>
          <w:rFonts w:ascii="Georgia" w:hAnsi="Georgia"/>
        </w:rPr>
        <w:t xml:space="preserve">ensk alkoholpolitik i allmänhet. </w:t>
      </w:r>
      <w:r w:rsidR="00771BAD" w:rsidRPr="00771BAD">
        <w:rPr>
          <w:rFonts w:ascii="Georgia" w:hAnsi="Georgia"/>
        </w:rPr>
        <w:t>EU-domstolen angav e</w:t>
      </w:r>
      <w:r w:rsidR="00771BAD">
        <w:rPr>
          <w:rFonts w:ascii="Georgia" w:hAnsi="Georgia"/>
        </w:rPr>
        <w:t xml:space="preserve">ndast vilken typ av begränsning </w:t>
      </w:r>
      <w:r w:rsidR="00771BAD" w:rsidRPr="00771BAD">
        <w:rPr>
          <w:rFonts w:ascii="Georgia" w:hAnsi="Georgia"/>
        </w:rPr>
        <w:t>för att skydda folkhälsan som inte var acceptabel (det dåvarande förbudet</w:t>
      </w:r>
      <w:r w:rsidR="00771BAD">
        <w:rPr>
          <w:rFonts w:ascii="Georgia" w:hAnsi="Georgia"/>
        </w:rPr>
        <w:t xml:space="preserve"> </w:t>
      </w:r>
      <w:r w:rsidR="00771BAD" w:rsidRPr="00771BAD">
        <w:rPr>
          <w:rFonts w:ascii="Georgia" w:hAnsi="Georgia"/>
        </w:rPr>
        <w:t>mot privatinförsel), men förklarade inte vilka begränsningar</w:t>
      </w:r>
      <w:r w:rsidR="00771BAD">
        <w:rPr>
          <w:rFonts w:ascii="Georgia" w:hAnsi="Georgia"/>
        </w:rPr>
        <w:t xml:space="preserve"> </w:t>
      </w:r>
      <w:r w:rsidR="00771BAD" w:rsidRPr="00771BAD">
        <w:rPr>
          <w:rFonts w:ascii="Georgia" w:hAnsi="Georgia"/>
        </w:rPr>
        <w:t>som kunde vara tillåtna.</w:t>
      </w:r>
      <w:r w:rsidR="00771BAD">
        <w:rPr>
          <w:rFonts w:ascii="Georgia" w:hAnsi="Georgia"/>
        </w:rPr>
        <w:t xml:space="preserve"> (s 70-71)</w:t>
      </w:r>
    </w:p>
    <w:p w:rsidR="00771BAD" w:rsidRDefault="007F1D90" w:rsidP="007F1D90">
      <w:pPr>
        <w:pStyle w:val="Rubrik3"/>
      </w:pPr>
      <w:r>
        <w:t>EU-rättens krav på systematisk och sammanhängande alkoholpolitik</w:t>
      </w:r>
    </w:p>
    <w:p w:rsidR="007F1D90" w:rsidRDefault="007F1D90" w:rsidP="00AF20F6">
      <w:pPr>
        <w:rPr>
          <w:rFonts w:ascii="Georgia" w:hAnsi="Georgia"/>
        </w:rPr>
      </w:pPr>
      <w:r w:rsidRPr="007F1D90">
        <w:rPr>
          <w:rFonts w:ascii="Georgia" w:hAnsi="Georgia"/>
        </w:rPr>
        <w:t xml:space="preserve">Utredningen </w:t>
      </w:r>
      <w:r w:rsidR="00B947C3">
        <w:rPr>
          <w:rFonts w:ascii="Georgia" w:hAnsi="Georgia"/>
        </w:rPr>
        <w:t xml:space="preserve">konstaterar att EU-rätten ställer krav på att den bakomliggande nationella politiken måste framstå som systematisk och sammanhängande för att en begränsning i handeln som ett monopol ska vara EU-rättsligt acceptabel. </w:t>
      </w:r>
      <w:r w:rsidR="00AF20F6">
        <w:rPr>
          <w:rFonts w:ascii="Georgia" w:hAnsi="Georgia"/>
        </w:rPr>
        <w:t xml:space="preserve">Om </w:t>
      </w:r>
      <w:r w:rsidR="00AF20F6" w:rsidRPr="00AF20F6">
        <w:rPr>
          <w:rFonts w:ascii="Georgia" w:hAnsi="Georgia"/>
        </w:rPr>
        <w:t xml:space="preserve">monopolet </w:t>
      </w:r>
      <w:r w:rsidR="00AF20F6" w:rsidRPr="00AF20F6">
        <w:rPr>
          <w:rFonts w:ascii="Georgia" w:hAnsi="Georgia"/>
          <w:i/>
        </w:rPr>
        <w:t>i praktiken</w:t>
      </w:r>
      <w:r w:rsidR="00AF20F6" w:rsidRPr="00AF20F6">
        <w:rPr>
          <w:rFonts w:ascii="Georgia" w:hAnsi="Georgia"/>
        </w:rPr>
        <w:t xml:space="preserve"> inte längre är den</w:t>
      </w:r>
      <w:r w:rsidR="00AF20F6">
        <w:rPr>
          <w:rFonts w:ascii="Georgia" w:hAnsi="Georgia"/>
        </w:rPr>
        <w:t xml:space="preserve"> </w:t>
      </w:r>
      <w:r w:rsidR="00AF20F6" w:rsidRPr="00AF20F6">
        <w:rPr>
          <w:rFonts w:ascii="Georgia" w:hAnsi="Georgia"/>
        </w:rPr>
        <w:t xml:space="preserve">enda försäljningskanalen </w:t>
      </w:r>
      <w:r w:rsidR="00AF20F6">
        <w:rPr>
          <w:rFonts w:ascii="Georgia" w:hAnsi="Georgia"/>
        </w:rPr>
        <w:t xml:space="preserve">för alkoholdrycker kan det göra att monopolet </w:t>
      </w:r>
      <w:r w:rsidR="00AF20F6" w:rsidRPr="00AF20F6">
        <w:rPr>
          <w:rFonts w:ascii="Georgia" w:hAnsi="Georgia"/>
        </w:rPr>
        <w:t>på sikt förlorar sitt alkoholpolitiska syfte</w:t>
      </w:r>
      <w:r w:rsidR="00AF20F6">
        <w:rPr>
          <w:rFonts w:ascii="Georgia" w:hAnsi="Georgia"/>
        </w:rPr>
        <w:t xml:space="preserve"> </w:t>
      </w:r>
      <w:r w:rsidR="00AF20F6" w:rsidRPr="00AF20F6">
        <w:rPr>
          <w:rFonts w:ascii="Georgia" w:hAnsi="Georgia"/>
        </w:rPr>
        <w:t>och inte längre kan anses EU-rättsligt legitimt</w:t>
      </w:r>
      <w:r w:rsidR="00AF20F6">
        <w:rPr>
          <w:rFonts w:ascii="Georgia" w:hAnsi="Georgia"/>
        </w:rPr>
        <w:t xml:space="preserve">. </w:t>
      </w:r>
      <w:r w:rsidR="00B819B5">
        <w:rPr>
          <w:rFonts w:ascii="Georgia" w:hAnsi="Georgia"/>
        </w:rPr>
        <w:t>EU-domstolen har i en dom från 2007 (</w:t>
      </w:r>
      <w:r w:rsidR="00B819B5" w:rsidRPr="00B819B5">
        <w:rPr>
          <w:rFonts w:ascii="Georgia" w:hAnsi="Georgia"/>
        </w:rPr>
        <w:t>Mål C-316/07 m.fl., Markus Stoß</w:t>
      </w:r>
      <w:r w:rsidR="00B819B5">
        <w:rPr>
          <w:rFonts w:ascii="Georgia" w:hAnsi="Georgia"/>
        </w:rPr>
        <w:t>)</w:t>
      </w:r>
      <w:r w:rsidR="00B819B5" w:rsidRPr="00B819B5">
        <w:rPr>
          <w:rFonts w:ascii="Georgia" w:hAnsi="Georgia"/>
        </w:rPr>
        <w:t xml:space="preserve"> </w:t>
      </w:r>
      <w:r w:rsidR="00B819B5">
        <w:rPr>
          <w:rFonts w:ascii="Georgia" w:hAnsi="Georgia"/>
        </w:rPr>
        <w:t xml:space="preserve">tillämpat detta resonemang och underkänt den tyska spelregleringen. Domstolen uttalar </w:t>
      </w:r>
      <w:r w:rsidR="00AD5806">
        <w:rPr>
          <w:rFonts w:ascii="Georgia" w:hAnsi="Georgia"/>
        </w:rPr>
        <w:t xml:space="preserve">i domen </w:t>
      </w:r>
      <w:r w:rsidR="00B819B5">
        <w:rPr>
          <w:rFonts w:ascii="Georgia" w:hAnsi="Georgia"/>
        </w:rPr>
        <w:t xml:space="preserve">att om myndigheterna i en medlemsstat bedriver eller tolererar en politik som främjar andra spel, istället för att minska möjligheterna till spel på ett sammanhängande och </w:t>
      </w:r>
      <w:r w:rsidR="00AD5806">
        <w:rPr>
          <w:rFonts w:ascii="Georgia" w:hAnsi="Georgia"/>
        </w:rPr>
        <w:t>systematiskt sätt, leder till att syftet med monopolet inte längre kan uppnås och att monopolet därmed inte längre kan motiveras EU-rättsligt.</w:t>
      </w:r>
      <w:r w:rsidR="00971C73">
        <w:rPr>
          <w:rFonts w:ascii="Georgia" w:hAnsi="Georgia"/>
        </w:rPr>
        <w:t xml:space="preserve"> (s 47-48)</w:t>
      </w:r>
    </w:p>
    <w:p w:rsidR="00C57B12" w:rsidRDefault="00C57B12" w:rsidP="00C57B12">
      <w:pPr>
        <w:rPr>
          <w:rFonts w:ascii="Georgia" w:hAnsi="Georgia"/>
        </w:rPr>
      </w:pPr>
      <w:r w:rsidRPr="009B18FA">
        <w:rPr>
          <w:rFonts w:ascii="Georgia" w:hAnsi="Georgia"/>
        </w:rPr>
        <w:t>Utredningen</w:t>
      </w:r>
      <w:r>
        <w:rPr>
          <w:rFonts w:ascii="Georgia" w:hAnsi="Georgia"/>
        </w:rPr>
        <w:t xml:space="preserve"> understryker</w:t>
      </w:r>
      <w:r w:rsidRPr="009B18FA">
        <w:rPr>
          <w:rFonts w:ascii="Georgia" w:hAnsi="Georgia"/>
        </w:rPr>
        <w:t xml:space="preserve"> att det är av central betydelse för den svenska alkoholpolitiken</w:t>
      </w:r>
      <w:r>
        <w:rPr>
          <w:rFonts w:ascii="Georgia" w:hAnsi="Georgia"/>
        </w:rPr>
        <w:t xml:space="preserve"> </w:t>
      </w:r>
      <w:r w:rsidRPr="009B18FA">
        <w:rPr>
          <w:rFonts w:ascii="Georgia" w:hAnsi="Georgia"/>
        </w:rPr>
        <w:t>och för detaljhandelsmonopolets fortsatta existens, att reglerna om distansförsäljning i lagen om alkoholskatt inte tas som intäkt för att det är tillåtet för säljaren att ägna sig åt fullskalig distansförsäljning, vilket t.ex. skulle kunna tolkas som att säljaren har möjlighet att ägna sig åt uppsökande säljverksamhet genom ombud eller agenter, och därmed utgöra ett direkt alternativ till detaljhandelsmonopolet i Sverige.</w:t>
      </w:r>
      <w:r>
        <w:rPr>
          <w:rFonts w:ascii="Georgia" w:hAnsi="Georgia"/>
        </w:rPr>
        <w:t xml:space="preserve"> (s 76)</w:t>
      </w:r>
    </w:p>
    <w:p w:rsidR="006661F6" w:rsidRDefault="00C26A83" w:rsidP="009C0FCA">
      <w:pPr>
        <w:pStyle w:val="Rubrik3"/>
      </w:pPr>
      <w:r>
        <w:t>S</w:t>
      </w:r>
      <w:r w:rsidR="009B18FA">
        <w:t xml:space="preserve">käl till att lagen måste ändras </w:t>
      </w:r>
    </w:p>
    <w:p w:rsidR="009B18FA" w:rsidRDefault="00887E50" w:rsidP="009B18FA">
      <w:pPr>
        <w:rPr>
          <w:rFonts w:ascii="Georgia" w:hAnsi="Georgia"/>
        </w:rPr>
      </w:pPr>
      <w:r>
        <w:rPr>
          <w:rFonts w:ascii="Georgia" w:hAnsi="Georgia"/>
        </w:rPr>
        <w:t>Utredningen bedömer</w:t>
      </w:r>
      <w:r w:rsidR="009B18FA" w:rsidRPr="009B18FA">
        <w:rPr>
          <w:rFonts w:ascii="Georgia" w:hAnsi="Georgia"/>
        </w:rPr>
        <w:t xml:space="preserve"> att om inga åtgärder vidtas</w:t>
      </w:r>
      <w:r>
        <w:rPr>
          <w:rFonts w:ascii="Georgia" w:hAnsi="Georgia"/>
        </w:rPr>
        <w:t xml:space="preserve"> </w:t>
      </w:r>
      <w:r w:rsidR="00F45BAF">
        <w:rPr>
          <w:rFonts w:ascii="Georgia" w:hAnsi="Georgia"/>
        </w:rPr>
        <w:t>i linje med utredningens</w:t>
      </w:r>
      <w:r w:rsidR="009B18FA" w:rsidRPr="009B18FA">
        <w:rPr>
          <w:rFonts w:ascii="Georgia" w:hAnsi="Georgia"/>
        </w:rPr>
        <w:t xml:space="preserve"> förslag </w:t>
      </w:r>
      <w:r w:rsidR="00F45BAF">
        <w:rPr>
          <w:rFonts w:ascii="Georgia" w:hAnsi="Georgia"/>
        </w:rPr>
        <w:t xml:space="preserve">kommer på sikt </w:t>
      </w:r>
      <w:r w:rsidR="009B18FA" w:rsidRPr="009B18FA">
        <w:rPr>
          <w:rFonts w:ascii="Georgia" w:hAnsi="Georgia"/>
        </w:rPr>
        <w:t>d</w:t>
      </w:r>
      <w:r w:rsidR="00F45BAF">
        <w:rPr>
          <w:rFonts w:ascii="Georgia" w:hAnsi="Georgia"/>
        </w:rPr>
        <w:t xml:space="preserve">en svenska alkoholpolitiken och </w:t>
      </w:r>
      <w:r w:rsidR="009B18FA" w:rsidRPr="009B18FA">
        <w:rPr>
          <w:rFonts w:ascii="Georgia" w:hAnsi="Georgia"/>
        </w:rPr>
        <w:t>i synnerhet detaljhandelsmonopolets ställning</w:t>
      </w:r>
      <w:r w:rsidR="00F45BAF">
        <w:rPr>
          <w:rFonts w:ascii="Georgia" w:hAnsi="Georgia"/>
        </w:rPr>
        <w:t xml:space="preserve"> undergrävas</w:t>
      </w:r>
      <w:r w:rsidR="009B18FA" w:rsidRPr="009B18FA">
        <w:rPr>
          <w:rFonts w:ascii="Georgia" w:hAnsi="Georgia"/>
        </w:rPr>
        <w:t xml:space="preserve">. </w:t>
      </w:r>
      <w:r w:rsidR="00F45BAF">
        <w:rPr>
          <w:rFonts w:ascii="Georgia" w:hAnsi="Georgia"/>
        </w:rPr>
        <w:t>A</w:t>
      </w:r>
      <w:r w:rsidR="009B18FA" w:rsidRPr="009B18FA">
        <w:rPr>
          <w:rFonts w:ascii="Georgia" w:hAnsi="Georgia"/>
        </w:rPr>
        <w:t>lkoholpolitik</w:t>
      </w:r>
      <w:r w:rsidR="0056072E">
        <w:rPr>
          <w:rFonts w:ascii="Georgia" w:hAnsi="Georgia"/>
        </w:rPr>
        <w:t xml:space="preserve">en </w:t>
      </w:r>
      <w:r w:rsidR="009B18FA" w:rsidRPr="009B18FA">
        <w:rPr>
          <w:rFonts w:ascii="Georgia" w:hAnsi="Georgia"/>
        </w:rPr>
        <w:t xml:space="preserve">kan upplevas som inkonsekvent </w:t>
      </w:r>
      <w:r w:rsidR="0056072E">
        <w:rPr>
          <w:rFonts w:ascii="Georgia" w:hAnsi="Georgia"/>
        </w:rPr>
        <w:t xml:space="preserve">om det är tillåtet för aktörer </w:t>
      </w:r>
      <w:r w:rsidR="009B18FA" w:rsidRPr="009B18FA">
        <w:rPr>
          <w:rFonts w:ascii="Georgia" w:hAnsi="Georgia"/>
        </w:rPr>
        <w:t>på den svenska marknaden att för egen vinning stimulera svenska</w:t>
      </w:r>
      <w:r w:rsidR="0056072E">
        <w:rPr>
          <w:rFonts w:ascii="Georgia" w:hAnsi="Georgia"/>
        </w:rPr>
        <w:t xml:space="preserve"> </w:t>
      </w:r>
      <w:r w:rsidR="009B18FA" w:rsidRPr="009B18FA">
        <w:rPr>
          <w:rFonts w:ascii="Georgia" w:hAnsi="Georgia"/>
        </w:rPr>
        <w:t>konsumenters intresse att föra in alkoholdrycker från utlandet. Det</w:t>
      </w:r>
      <w:r w:rsidR="0056072E">
        <w:rPr>
          <w:rFonts w:ascii="Georgia" w:hAnsi="Georgia"/>
        </w:rPr>
        <w:t xml:space="preserve"> </w:t>
      </w:r>
      <w:r w:rsidR="009B18FA" w:rsidRPr="009B18FA">
        <w:rPr>
          <w:rFonts w:ascii="Georgia" w:hAnsi="Georgia"/>
        </w:rPr>
        <w:t xml:space="preserve">är ett avbräck i den s.k. desintresseringsprincipen som syftar </w:t>
      </w:r>
      <w:r w:rsidR="009B18FA" w:rsidRPr="009B18FA">
        <w:rPr>
          <w:rFonts w:ascii="Georgia" w:hAnsi="Georgia"/>
        </w:rPr>
        <w:lastRenderedPageBreak/>
        <w:t>till att</w:t>
      </w:r>
      <w:r w:rsidR="0056072E">
        <w:rPr>
          <w:rFonts w:ascii="Georgia" w:hAnsi="Georgia"/>
        </w:rPr>
        <w:t xml:space="preserve"> </w:t>
      </w:r>
      <w:r w:rsidR="009B18FA" w:rsidRPr="009B18FA">
        <w:rPr>
          <w:rFonts w:ascii="Georgia" w:hAnsi="Georgia"/>
        </w:rPr>
        <w:t>begränsa privata vinstintressen i alkoholhanteringen i Sverige.</w:t>
      </w:r>
      <w:r w:rsidR="005A30A3">
        <w:rPr>
          <w:rFonts w:ascii="Georgia" w:hAnsi="Georgia"/>
        </w:rPr>
        <w:t xml:space="preserve"> Ett i</w:t>
      </w:r>
      <w:r w:rsidR="009B18FA" w:rsidRPr="009B18FA">
        <w:rPr>
          <w:rFonts w:ascii="Georgia" w:hAnsi="Georgia"/>
        </w:rPr>
        <w:t>nflytande av privat vinstintresse är oförenligt med svensk alkoholpolitik</w:t>
      </w:r>
      <w:r w:rsidR="005A30A3">
        <w:rPr>
          <w:rFonts w:ascii="Georgia" w:hAnsi="Georgia"/>
        </w:rPr>
        <w:t xml:space="preserve">. </w:t>
      </w:r>
      <w:r w:rsidR="00096439">
        <w:rPr>
          <w:rFonts w:ascii="Georgia" w:hAnsi="Georgia"/>
        </w:rPr>
        <w:t>(s 117-118)</w:t>
      </w:r>
    </w:p>
    <w:p w:rsidR="009B18FA" w:rsidRDefault="002A663A" w:rsidP="009B18FA">
      <w:pPr>
        <w:rPr>
          <w:rFonts w:ascii="Georgia" w:hAnsi="Georgia"/>
        </w:rPr>
      </w:pPr>
      <w:r>
        <w:rPr>
          <w:rFonts w:ascii="Georgia" w:hAnsi="Georgia"/>
        </w:rPr>
        <w:t xml:space="preserve">För att vara EU-rättsligt legitim måste </w:t>
      </w:r>
      <w:r w:rsidR="009B18FA" w:rsidRPr="009B18FA">
        <w:rPr>
          <w:rFonts w:ascii="Georgia" w:hAnsi="Georgia"/>
        </w:rPr>
        <w:t>den svenska alkoholpolitiken vara systematisk och sammanhängande</w:t>
      </w:r>
      <w:r>
        <w:rPr>
          <w:rFonts w:ascii="Georgia" w:hAnsi="Georgia"/>
        </w:rPr>
        <w:t xml:space="preserve">. Om </w:t>
      </w:r>
      <w:r w:rsidRPr="009B18FA">
        <w:rPr>
          <w:rFonts w:ascii="Georgia" w:hAnsi="Georgia"/>
        </w:rPr>
        <w:t xml:space="preserve">monopolet i praktiken inte längre är den enda försäljningskanalen </w:t>
      </w:r>
      <w:r>
        <w:rPr>
          <w:rFonts w:ascii="Georgia" w:hAnsi="Georgia"/>
        </w:rPr>
        <w:t>kan det i</w:t>
      </w:r>
      <w:r w:rsidRPr="009B18FA">
        <w:rPr>
          <w:rFonts w:ascii="Georgia" w:hAnsi="Georgia"/>
        </w:rPr>
        <w:t>nte längre kan anses</w:t>
      </w:r>
      <w:r>
        <w:rPr>
          <w:rFonts w:ascii="Georgia" w:hAnsi="Georgia"/>
        </w:rPr>
        <w:t xml:space="preserve"> vara EU-rättsligt legitimt. (s 33, s 47)</w:t>
      </w:r>
    </w:p>
    <w:p w:rsidR="00386CE2" w:rsidRPr="005A64D2" w:rsidRDefault="005A64D2" w:rsidP="00386CE2">
      <w:pPr>
        <w:rPr>
          <w:rFonts w:ascii="Georgia" w:hAnsi="Georgia"/>
        </w:rPr>
      </w:pPr>
      <w:r w:rsidRPr="005A64D2">
        <w:rPr>
          <w:rFonts w:ascii="Georgia" w:hAnsi="Georgia"/>
        </w:rPr>
        <w:t xml:space="preserve">Utredningen framhåller att </w:t>
      </w:r>
      <w:r w:rsidR="005F1A13">
        <w:rPr>
          <w:rFonts w:ascii="Georgia" w:hAnsi="Georgia"/>
        </w:rPr>
        <w:t>om inga förändringar görs i den svenska lagstiftningen försvagas på lång sikt</w:t>
      </w:r>
      <w:r w:rsidRPr="005A64D2">
        <w:rPr>
          <w:rFonts w:ascii="Georgia" w:hAnsi="Georgia"/>
        </w:rPr>
        <w:t xml:space="preserve"> </w:t>
      </w:r>
      <w:r w:rsidR="00433235" w:rsidRPr="005A64D2">
        <w:rPr>
          <w:rFonts w:ascii="Georgia" w:hAnsi="Georgia" w:cs="OriginalGaramondBT-Roman"/>
        </w:rPr>
        <w:t xml:space="preserve">detaljhandelsmonopolets berättigande: dels reellt, eftersom monopolets funktion </w:t>
      </w:r>
      <w:r>
        <w:rPr>
          <w:rFonts w:ascii="Georgia" w:hAnsi="Georgia" w:cs="OriginalGaramondBT-Roman"/>
        </w:rPr>
        <w:t>blir mindre effektiv</w:t>
      </w:r>
      <w:r w:rsidR="00433235" w:rsidRPr="005A64D2">
        <w:rPr>
          <w:rFonts w:ascii="Georgia" w:hAnsi="Georgia" w:cs="OriginalGaramondBT-Roman"/>
        </w:rPr>
        <w:t>, dels EU-rättsligt, eftersom</w:t>
      </w:r>
      <w:r w:rsidRPr="005A64D2">
        <w:rPr>
          <w:rFonts w:ascii="Georgia" w:hAnsi="Georgia" w:cs="OriginalGaramondBT-Roman"/>
        </w:rPr>
        <w:t xml:space="preserve"> </w:t>
      </w:r>
      <w:r w:rsidR="00433235" w:rsidRPr="005A64D2">
        <w:rPr>
          <w:rFonts w:ascii="Georgia" w:hAnsi="Georgia" w:cs="OriginalGaramondBT-Roman"/>
        </w:rPr>
        <w:t>det fol</w:t>
      </w:r>
      <w:r>
        <w:rPr>
          <w:rFonts w:ascii="Georgia" w:hAnsi="Georgia" w:cs="OriginalGaramondBT-Roman"/>
        </w:rPr>
        <w:t>khälsofrämjande syftet</w:t>
      </w:r>
      <w:r w:rsidR="00433235" w:rsidRPr="005A64D2">
        <w:rPr>
          <w:rFonts w:ascii="Georgia" w:hAnsi="Georgia" w:cs="OriginalGaramondBT-Roman"/>
        </w:rPr>
        <w:t xml:space="preserve"> försvagas</w:t>
      </w:r>
      <w:r>
        <w:rPr>
          <w:rFonts w:ascii="Georgia" w:hAnsi="Georgia" w:cs="OriginalGaramondBT-Roman"/>
        </w:rPr>
        <w:t>.</w:t>
      </w:r>
      <w:r w:rsidR="00FD0560">
        <w:rPr>
          <w:rFonts w:ascii="Georgia" w:hAnsi="Georgia" w:cs="OriginalGaramondBT-Roman"/>
        </w:rPr>
        <w:t xml:space="preserve"> (s 117)</w:t>
      </w:r>
      <w:r>
        <w:rPr>
          <w:rFonts w:ascii="Georgia" w:hAnsi="Georgia" w:cs="OriginalGaramondBT-Roman"/>
        </w:rPr>
        <w:t xml:space="preserve"> </w:t>
      </w:r>
    </w:p>
    <w:p w:rsidR="00386CE2" w:rsidRDefault="00386CE2" w:rsidP="00386CE2">
      <w:pPr>
        <w:pStyle w:val="Rubrik3"/>
      </w:pPr>
      <w:r>
        <w:t>Om ”annan oberoende mellanhand”</w:t>
      </w:r>
    </w:p>
    <w:p w:rsidR="00E07EF5" w:rsidRDefault="00E07EF5" w:rsidP="00386CE2">
      <w:pPr>
        <w:rPr>
          <w:rFonts w:ascii="Georgia" w:hAnsi="Georgia"/>
        </w:rPr>
      </w:pPr>
      <w:r>
        <w:rPr>
          <w:rFonts w:ascii="Georgia" w:hAnsi="Georgia"/>
        </w:rPr>
        <w:t>Nu gällande alkohollag säger att privatimport av alkoholdrycker får ske genom ”annan oberoende mellanhand”. Begreppet är oklart, vilket tidigare utredningar också konstaterat, och medför en osäkerhet om vilka förmedlingstjänster och andra moment i försäljningskedjan som är tillåtna. (s 63-64)</w:t>
      </w:r>
    </w:p>
    <w:p w:rsidR="00386CE2" w:rsidRDefault="00E07EF5" w:rsidP="00386CE2">
      <w:pPr>
        <w:rPr>
          <w:rFonts w:ascii="Georgia" w:hAnsi="Georgia"/>
        </w:rPr>
      </w:pPr>
      <w:r>
        <w:rPr>
          <w:rFonts w:ascii="Georgia" w:hAnsi="Georgia"/>
        </w:rPr>
        <w:t>Utredningen förseslår därför a</w:t>
      </w:r>
      <w:r w:rsidR="00386CE2" w:rsidRPr="00386CE2">
        <w:rPr>
          <w:rFonts w:ascii="Georgia" w:hAnsi="Georgia"/>
        </w:rPr>
        <w:t>tt begreppet tas bort ur lagen och att lagen tydligt anger att det endast är transport genom yrkesmässig eller privat transportör som kan bistå privatpersone</w:t>
      </w:r>
      <w:r>
        <w:rPr>
          <w:rFonts w:ascii="Georgia" w:hAnsi="Georgia"/>
        </w:rPr>
        <w:t>r vid privatimport</w:t>
      </w:r>
      <w:r w:rsidR="00A60F9E">
        <w:rPr>
          <w:rFonts w:ascii="Georgia" w:hAnsi="Georgia"/>
        </w:rPr>
        <w:t>.</w:t>
      </w:r>
      <w:r>
        <w:rPr>
          <w:rFonts w:ascii="Georgia" w:hAnsi="Georgia"/>
        </w:rPr>
        <w:t xml:space="preserve"> (s</w:t>
      </w:r>
      <w:r w:rsidR="00386CE2" w:rsidRPr="00386CE2">
        <w:rPr>
          <w:rFonts w:ascii="Georgia" w:hAnsi="Georgia"/>
        </w:rPr>
        <w:t xml:space="preserve"> </w:t>
      </w:r>
      <w:r w:rsidR="00D70C47">
        <w:rPr>
          <w:rFonts w:ascii="Georgia" w:hAnsi="Georgia"/>
        </w:rPr>
        <w:t>74-</w:t>
      </w:r>
      <w:r w:rsidR="00386CE2" w:rsidRPr="00386CE2">
        <w:rPr>
          <w:rFonts w:ascii="Georgia" w:hAnsi="Georgia"/>
        </w:rPr>
        <w:t>75)</w:t>
      </w:r>
    </w:p>
    <w:p w:rsidR="00386CE2" w:rsidRDefault="00386CE2" w:rsidP="00386CE2">
      <w:pPr>
        <w:pStyle w:val="Rubrik3"/>
      </w:pPr>
      <w:r>
        <w:t>Om a</w:t>
      </w:r>
      <w:r w:rsidRPr="00386CE2">
        <w:t>tt transportören ska var</w:t>
      </w:r>
      <w:r w:rsidR="00D70C47">
        <w:t>a oberoende av säljaren</w:t>
      </w:r>
    </w:p>
    <w:p w:rsidR="00386CE2" w:rsidRPr="00D70C47" w:rsidRDefault="00D70C47" w:rsidP="00386CE2">
      <w:pPr>
        <w:rPr>
          <w:rFonts w:ascii="Georgia" w:hAnsi="Georgia"/>
        </w:rPr>
      </w:pPr>
      <w:r>
        <w:rPr>
          <w:rFonts w:ascii="Georgia" w:hAnsi="Georgia"/>
        </w:rPr>
        <w:t>Av EU-domstolens rättspraxis framgår, enligt utredningen, att säljaren inte själv får transportera varorna, eftersom detta skulle stå i strid med detaljhandelsmonopolet och kunna tolkas som att säljaren har möjlighet att ägna sig åt uppsökande säljverksamhet i Sverige. (s 75</w:t>
      </w:r>
      <w:r w:rsidR="00EF3DF2">
        <w:rPr>
          <w:rFonts w:ascii="Georgia" w:hAnsi="Georgia"/>
        </w:rPr>
        <w:t>-76</w:t>
      </w:r>
      <w:r>
        <w:rPr>
          <w:rFonts w:ascii="Georgia" w:hAnsi="Georgia"/>
        </w:rPr>
        <w:t>)</w:t>
      </w:r>
    </w:p>
    <w:p w:rsidR="00386CE2" w:rsidRDefault="00386CE2" w:rsidP="00386CE2">
      <w:pPr>
        <w:pStyle w:val="Rubrik3"/>
      </w:pPr>
      <w:r>
        <w:t>Om a</w:t>
      </w:r>
      <w:r w:rsidRPr="00386CE2">
        <w:t>tt både säljare och köpare bör ha rätt a</w:t>
      </w:r>
      <w:r w:rsidR="00EC699E">
        <w:t xml:space="preserve">tt ombesörja transporten </w:t>
      </w:r>
    </w:p>
    <w:p w:rsidR="00E81E55" w:rsidRPr="00EC699E" w:rsidRDefault="00EC699E" w:rsidP="00E81E55">
      <w:pPr>
        <w:rPr>
          <w:rFonts w:ascii="Georgia" w:hAnsi="Georgia"/>
        </w:rPr>
      </w:pPr>
      <w:r w:rsidRPr="00EC699E">
        <w:rPr>
          <w:rFonts w:ascii="Georgia" w:hAnsi="Georgia"/>
        </w:rPr>
        <w:t>Utredningen bedömer</w:t>
      </w:r>
      <w:r>
        <w:rPr>
          <w:rFonts w:ascii="Georgia" w:hAnsi="Georgia"/>
        </w:rPr>
        <w:t xml:space="preserve"> att säljaren bör ha rätt att ombesörja transporten även om detta inte tydligt framgår av EU-domstolens rättspraxis. Utredningen menar bland annat att detta har blivit det vanligt förekommande vid privatimport och att det faktum att säljaren då blir skyldig att betala alkoholskatt i Sverige är fördelaktigt både när det gäller prisuppgifter från säljaren till svenska konsumenter och för att alkoholskatten betalas till svenska konsumenter. (s 76-77)</w:t>
      </w:r>
    </w:p>
    <w:p w:rsidR="00386CE2" w:rsidRDefault="00386CE2" w:rsidP="00386CE2">
      <w:pPr>
        <w:pStyle w:val="Rubrik3"/>
      </w:pPr>
      <w:r>
        <w:t>Om förbud mot att kommersiellt främja privatimport</w:t>
      </w:r>
    </w:p>
    <w:p w:rsidR="00EC699E" w:rsidRDefault="00EC699E" w:rsidP="00EC699E">
      <w:pPr>
        <w:rPr>
          <w:rFonts w:ascii="Georgia" w:hAnsi="Georgia"/>
        </w:rPr>
      </w:pPr>
      <w:r w:rsidRPr="00EC699E">
        <w:rPr>
          <w:rFonts w:ascii="Georgia" w:hAnsi="Georgia"/>
        </w:rPr>
        <w:t xml:space="preserve">Utredningen har </w:t>
      </w:r>
      <w:r>
        <w:rPr>
          <w:rFonts w:ascii="Georgia" w:hAnsi="Georgia"/>
        </w:rPr>
        <w:t>k</w:t>
      </w:r>
      <w:r w:rsidRPr="00EC699E">
        <w:rPr>
          <w:rFonts w:ascii="Georgia" w:hAnsi="Georgia"/>
        </w:rPr>
        <w:t>onstat</w:t>
      </w:r>
      <w:r>
        <w:rPr>
          <w:rFonts w:ascii="Georgia" w:hAnsi="Georgia"/>
        </w:rPr>
        <w:t xml:space="preserve">erat att kommersiellt främjande </w:t>
      </w:r>
      <w:r w:rsidRPr="00EC699E">
        <w:rPr>
          <w:rFonts w:ascii="Georgia" w:hAnsi="Georgia"/>
        </w:rPr>
        <w:t>av privatinförsel inte är före</w:t>
      </w:r>
      <w:r>
        <w:rPr>
          <w:rFonts w:ascii="Georgia" w:hAnsi="Georgia"/>
        </w:rPr>
        <w:t xml:space="preserve">nligt </w:t>
      </w:r>
      <w:r w:rsidRPr="00EC699E">
        <w:rPr>
          <w:rFonts w:ascii="Georgia" w:hAnsi="Georgia"/>
        </w:rPr>
        <w:t>med</w:t>
      </w:r>
      <w:r>
        <w:rPr>
          <w:rFonts w:ascii="Georgia" w:hAnsi="Georgia"/>
        </w:rPr>
        <w:t xml:space="preserve"> </w:t>
      </w:r>
      <w:r w:rsidRPr="00EC699E">
        <w:rPr>
          <w:rFonts w:ascii="Georgia" w:hAnsi="Georgia"/>
        </w:rPr>
        <w:t>ett</w:t>
      </w:r>
      <w:r>
        <w:rPr>
          <w:rFonts w:ascii="Georgia" w:hAnsi="Georgia"/>
        </w:rPr>
        <w:t xml:space="preserve"> detaljhandelsmonopol som </w:t>
      </w:r>
      <w:r w:rsidRPr="00EC699E">
        <w:rPr>
          <w:rFonts w:ascii="Georgia" w:hAnsi="Georgia"/>
        </w:rPr>
        <w:t>s</w:t>
      </w:r>
      <w:r>
        <w:rPr>
          <w:rFonts w:ascii="Georgia" w:hAnsi="Georgia"/>
        </w:rPr>
        <w:t xml:space="preserve">yftar till att utesluta privata </w:t>
      </w:r>
      <w:r w:rsidRPr="00EC699E">
        <w:rPr>
          <w:rFonts w:ascii="Georgia" w:hAnsi="Georgia"/>
        </w:rPr>
        <w:t xml:space="preserve">vinstintressen i </w:t>
      </w:r>
      <w:r>
        <w:rPr>
          <w:rFonts w:ascii="Georgia" w:hAnsi="Georgia"/>
        </w:rPr>
        <w:t>detaljhandeln med alkohol</w:t>
      </w:r>
      <w:r w:rsidRPr="00EC699E">
        <w:rPr>
          <w:rFonts w:ascii="Georgia" w:hAnsi="Georgia"/>
        </w:rPr>
        <w:t xml:space="preserve"> i Sverige</w:t>
      </w:r>
      <w:r>
        <w:rPr>
          <w:rFonts w:ascii="Georgia" w:hAnsi="Georgia"/>
        </w:rPr>
        <w:t xml:space="preserve">. </w:t>
      </w:r>
      <w:r w:rsidRPr="00EC699E">
        <w:rPr>
          <w:rFonts w:ascii="Georgia" w:hAnsi="Georgia"/>
        </w:rPr>
        <w:t xml:space="preserve"> Det finns därför </w:t>
      </w:r>
      <w:r w:rsidR="00D5463F">
        <w:rPr>
          <w:rFonts w:ascii="Georgia" w:hAnsi="Georgia"/>
        </w:rPr>
        <w:t>EU-rättsliga skäl</w:t>
      </w:r>
      <w:r w:rsidRPr="00EC699E">
        <w:rPr>
          <w:rFonts w:ascii="Georgia" w:hAnsi="Georgia"/>
        </w:rPr>
        <w:t xml:space="preserve"> att</w:t>
      </w:r>
      <w:r w:rsidR="00D5463F">
        <w:rPr>
          <w:rFonts w:ascii="Georgia" w:hAnsi="Georgia"/>
        </w:rPr>
        <w:t xml:space="preserve"> förbjuda</w:t>
      </w:r>
      <w:r w:rsidRPr="00EC699E">
        <w:rPr>
          <w:rFonts w:ascii="Georgia" w:hAnsi="Georgia"/>
        </w:rPr>
        <w:t xml:space="preserve"> kommersiellt främjande av privat införsel</w:t>
      </w:r>
      <w:r w:rsidR="00D5463F">
        <w:rPr>
          <w:rFonts w:ascii="Georgia" w:hAnsi="Georgia"/>
        </w:rPr>
        <w:t xml:space="preserve"> </w:t>
      </w:r>
      <w:r w:rsidRPr="00EC699E">
        <w:rPr>
          <w:rFonts w:ascii="Georgia" w:hAnsi="Georgia"/>
        </w:rPr>
        <w:t>av alkoholdrycker</w:t>
      </w:r>
      <w:r w:rsidR="00D5463F">
        <w:rPr>
          <w:rFonts w:ascii="Georgia" w:hAnsi="Georgia"/>
        </w:rPr>
        <w:t>. (s 79-83)</w:t>
      </w:r>
    </w:p>
    <w:p w:rsidR="008518B6" w:rsidRDefault="008518B6" w:rsidP="00D5463F">
      <w:pPr>
        <w:pStyle w:val="Rubrik3"/>
        <w:tabs>
          <w:tab w:val="left" w:pos="7200"/>
        </w:tabs>
      </w:pPr>
      <w:r>
        <w:t>Om undantag för säljaren från främjandeförbud</w:t>
      </w:r>
    </w:p>
    <w:p w:rsidR="003E4639" w:rsidRPr="00E06C40" w:rsidRDefault="00D5463F" w:rsidP="00E06C40">
      <w:pPr>
        <w:rPr>
          <w:rFonts w:ascii="Georgia" w:hAnsi="Georgia"/>
        </w:rPr>
      </w:pPr>
      <w:r>
        <w:rPr>
          <w:rFonts w:ascii="Georgia" w:hAnsi="Georgia"/>
        </w:rPr>
        <w:t xml:space="preserve">Utredningen föreslår att utländska säljare undantas från förbudet att kommersiellt främja privatimport. </w:t>
      </w:r>
      <w:r w:rsidR="00506A8B">
        <w:rPr>
          <w:rFonts w:ascii="Georgia" w:hAnsi="Georgia"/>
        </w:rPr>
        <w:t>Det skulle</w:t>
      </w:r>
      <w:r w:rsidR="00A8321A">
        <w:rPr>
          <w:rFonts w:ascii="Georgia" w:hAnsi="Georgia"/>
        </w:rPr>
        <w:t>, enligt utredningen,</w:t>
      </w:r>
      <w:r w:rsidR="00506A8B">
        <w:rPr>
          <w:rFonts w:ascii="Georgia" w:hAnsi="Georgia"/>
        </w:rPr>
        <w:t xml:space="preserve"> bland annat innebära att till exempel svenska tidningar som tar in annonser för privatimport av säljarens varor inte heller bryter mot främjande förbudet. Utredningen menar att det </w:t>
      </w:r>
      <w:r w:rsidR="00A8321A">
        <w:rPr>
          <w:rFonts w:ascii="Georgia" w:hAnsi="Georgia"/>
        </w:rPr>
        <w:t xml:space="preserve">inte </w:t>
      </w:r>
      <w:r w:rsidR="00506A8B">
        <w:rPr>
          <w:rFonts w:ascii="Georgia" w:hAnsi="Georgia"/>
        </w:rPr>
        <w:t xml:space="preserve">skulle </w:t>
      </w:r>
      <w:r w:rsidR="00A8321A">
        <w:rPr>
          <w:rFonts w:ascii="Georgia" w:hAnsi="Georgia"/>
        </w:rPr>
        <w:t xml:space="preserve">vara </w:t>
      </w:r>
      <w:r w:rsidR="00506A8B">
        <w:rPr>
          <w:rFonts w:ascii="Georgia" w:hAnsi="Georgia"/>
        </w:rPr>
        <w:t xml:space="preserve">EU-rättsligt </w:t>
      </w:r>
      <w:r w:rsidR="00A8321A">
        <w:rPr>
          <w:rFonts w:ascii="Georgia" w:hAnsi="Georgia"/>
        </w:rPr>
        <w:t>tillåtet att</w:t>
      </w:r>
      <w:r w:rsidR="00506A8B">
        <w:rPr>
          <w:rFonts w:ascii="Georgia" w:hAnsi="Georgia"/>
        </w:rPr>
        <w:t xml:space="preserve"> säljaren också träffades av främjandeförbudet</w:t>
      </w:r>
      <w:r w:rsidR="00A8321A">
        <w:rPr>
          <w:rFonts w:ascii="Georgia" w:hAnsi="Georgia"/>
        </w:rPr>
        <w:t xml:space="preserve"> på grund av att det skulle innebära en otillåten diskriminering</w:t>
      </w:r>
      <w:r w:rsidR="00506A8B">
        <w:rPr>
          <w:rFonts w:ascii="Georgia" w:hAnsi="Georgia"/>
        </w:rPr>
        <w:t>. (s 79-86)</w:t>
      </w:r>
      <w:r>
        <w:rPr>
          <w:rFonts w:ascii="Georgia" w:hAnsi="Georgia"/>
        </w:rPr>
        <w:t xml:space="preserve"> </w:t>
      </w:r>
      <w:r w:rsidR="003E4639" w:rsidRPr="00942980">
        <w:rPr>
          <w:rFonts w:ascii="Georgia" w:hAnsi="Georgia" w:cs="Tahoma"/>
          <w:i/>
          <w:color w:val="000000"/>
          <w:sz w:val="20"/>
          <w:szCs w:val="20"/>
        </w:rPr>
        <w:t xml:space="preserve"> </w:t>
      </w:r>
    </w:p>
    <w:sectPr w:rsidR="003E4639" w:rsidRPr="00E06C40" w:rsidSect="00D6205E">
      <w:headerReference w:type="even" r:id="rId9"/>
      <w:headerReference w:type="default" r:id="rId10"/>
      <w:footerReference w:type="default" r:id="rId11"/>
      <w:pgSz w:w="11906" w:h="16838"/>
      <w:pgMar w:top="567" w:right="1021" w:bottom="851" w:left="1418"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5615" w:rsidRDefault="00585615" w:rsidP="00035B3D">
      <w:pPr>
        <w:spacing w:after="0" w:line="240" w:lineRule="auto"/>
      </w:pPr>
      <w:r>
        <w:separator/>
      </w:r>
    </w:p>
  </w:endnote>
  <w:endnote w:type="continuationSeparator" w:id="0">
    <w:p w:rsidR="00585615" w:rsidRDefault="00585615" w:rsidP="00035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altName w:val="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Georgia">
    <w:altName w:val="Georgia"/>
    <w:panose1 w:val="02040502050405020303"/>
    <w:charset w:val="00"/>
    <w:family w:val="roman"/>
    <w:pitch w:val="variable"/>
    <w:sig w:usb0="00000287" w:usb1="00000000" w:usb2="00000000" w:usb3="00000000" w:csb0="0000009F" w:csb1="00000000"/>
  </w:font>
  <w:font w:name="OriginalGaramondBT-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851402"/>
      <w:docPartObj>
        <w:docPartGallery w:val="Page Numbers (Bottom of Page)"/>
        <w:docPartUnique/>
      </w:docPartObj>
    </w:sdtPr>
    <w:sdtEndPr/>
    <w:sdtContent>
      <w:p w:rsidR="008F0222" w:rsidRDefault="0088393B">
        <w:pPr>
          <w:pStyle w:val="Sidfot"/>
          <w:jc w:val="center"/>
        </w:pPr>
      </w:p>
    </w:sdtContent>
  </w:sdt>
  <w:p w:rsidR="007A28F9" w:rsidRPr="00942980" w:rsidRDefault="007A28F9" w:rsidP="00942980">
    <w:pPr>
      <w:autoSpaceDE w:val="0"/>
      <w:autoSpaceDN w:val="0"/>
      <w:adjustRightInd w:val="0"/>
      <w:spacing w:after="0" w:line="240" w:lineRule="auto"/>
      <w:rPr>
        <w:i/>
        <w:i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5615" w:rsidRDefault="00585615" w:rsidP="00035B3D">
      <w:pPr>
        <w:spacing w:after="0" w:line="240" w:lineRule="auto"/>
      </w:pPr>
      <w:r>
        <w:separator/>
      </w:r>
    </w:p>
  </w:footnote>
  <w:footnote w:type="continuationSeparator" w:id="0">
    <w:p w:rsidR="00585615" w:rsidRDefault="00585615" w:rsidP="00035B3D">
      <w:pPr>
        <w:spacing w:after="0" w:line="240" w:lineRule="auto"/>
      </w:pPr>
      <w:r>
        <w:continuationSeparator/>
      </w:r>
    </w:p>
  </w:footnote>
  <w:footnote w:id="1">
    <w:p w:rsidR="00111230" w:rsidRDefault="00111230">
      <w:pPr>
        <w:pStyle w:val="Fotnotstext"/>
      </w:pPr>
      <w:r>
        <w:rPr>
          <w:rStyle w:val="Fotnotsreferens"/>
        </w:rPr>
        <w:footnoteRef/>
      </w:r>
      <w:r>
        <w:t xml:space="preserve"> Uppgifter från Skatteverket, Särskilda skattekontoret i Ludvika</w:t>
      </w:r>
    </w:p>
  </w:footnote>
  <w:footnote w:id="2">
    <w:p w:rsidR="00111230" w:rsidRPr="00111230" w:rsidRDefault="00111230" w:rsidP="00111230">
      <w:pPr>
        <w:pStyle w:val="Fotnotstext"/>
        <w:rPr>
          <w:lang w:val="en-GB"/>
        </w:rPr>
      </w:pPr>
      <w:r>
        <w:rPr>
          <w:rStyle w:val="Fotnotsreferens"/>
        </w:rPr>
        <w:footnoteRef/>
      </w:r>
      <w:r w:rsidRPr="00111230">
        <w:rPr>
          <w:lang w:val="en-GB"/>
        </w:rPr>
        <w:t xml:space="preserve"> Hahn RA, Middleton JC, Elder R, Brewer R, Fielding J, Naimi TS, Toomey TL, Chattopadhyay S,</w:t>
      </w:r>
    </w:p>
    <w:p w:rsidR="00111230" w:rsidRPr="00111230" w:rsidRDefault="00111230" w:rsidP="00111230">
      <w:pPr>
        <w:pStyle w:val="Fotnotstext"/>
        <w:rPr>
          <w:lang w:val="en-GB"/>
        </w:rPr>
      </w:pPr>
      <w:r w:rsidRPr="00111230">
        <w:rPr>
          <w:lang w:val="en-GB"/>
        </w:rPr>
        <w:t>Lawrence B, Campbell CA; Community Preventive Services Task Force. (2012). Effects of alcohol retail</w:t>
      </w:r>
    </w:p>
    <w:p w:rsidR="00111230" w:rsidRPr="00111230" w:rsidRDefault="00111230" w:rsidP="00111230">
      <w:pPr>
        <w:pStyle w:val="Fotnotstext"/>
        <w:rPr>
          <w:lang w:val="en-GB"/>
        </w:rPr>
      </w:pPr>
      <w:r w:rsidRPr="00111230">
        <w:rPr>
          <w:lang w:val="en-GB"/>
        </w:rPr>
        <w:t>privatization on excessive alcohol consumption and related harms: a community guide systematic review.</w:t>
      </w:r>
    </w:p>
    <w:p w:rsidR="00111230" w:rsidRDefault="00111230" w:rsidP="00111230">
      <w:pPr>
        <w:pStyle w:val="Fotnotstext"/>
      </w:pPr>
      <w:r>
        <w:t>Am J Prev Med. 2012 Apr;42(4):418-27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682" w:rsidRDefault="007F4682" w:rsidP="00184340">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rsidR="007F4682" w:rsidRDefault="007F4682" w:rsidP="007F4682">
    <w:pPr>
      <w:pStyle w:val="Sidhuvud"/>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682" w:rsidRDefault="007F4682" w:rsidP="00184340">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88393B">
      <w:rPr>
        <w:rStyle w:val="Sidnummer"/>
        <w:noProof/>
      </w:rPr>
      <w:t>1</w:t>
    </w:r>
    <w:r>
      <w:rPr>
        <w:rStyle w:val="Sidnummer"/>
      </w:rPr>
      <w:fldChar w:fldCharType="end"/>
    </w:r>
  </w:p>
  <w:p w:rsidR="007A28F9" w:rsidRDefault="007A28F9" w:rsidP="007F4682">
    <w:pPr>
      <w:pStyle w:val="Sidhuvud"/>
      <w:ind w:right="360"/>
    </w:pPr>
    <w:r>
      <w:rPr>
        <w:noProof/>
        <w:lang w:eastAsia="sv-SE"/>
      </w:rPr>
      <w:drawing>
        <wp:inline distT="0" distB="0" distL="0" distR="0" wp14:anchorId="692BFA83" wp14:editId="5736731E">
          <wp:extent cx="2314575" cy="447675"/>
          <wp:effectExtent l="0" t="0" r="9525" b="9525"/>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4575" cy="447675"/>
                  </a:xfrm>
                  <a:prstGeom prst="rect">
                    <a:avLst/>
                  </a:prstGeom>
                  <a:noFill/>
                  <a:ln>
                    <a:noFill/>
                  </a:ln>
                </pic:spPr>
              </pic:pic>
            </a:graphicData>
          </a:graphic>
        </wp:inline>
      </w:drawing>
    </w:r>
    <w:r>
      <w:tab/>
      <w:t xml:space="preserve">                             </w:t>
    </w:r>
    <w:r w:rsidR="000E7C9D">
      <w:t xml:space="preserve">                      2014-</w:t>
    </w:r>
    <w:r w:rsidR="005306A9">
      <w:t>0</w:t>
    </w:r>
    <w:r w:rsidR="00766FEB">
      <w:t>9</w:t>
    </w:r>
    <w:r w:rsidR="0005048E">
      <w:t>-</w:t>
    </w:r>
    <w:r w:rsidR="00766FEB">
      <w:t xml:space="preserve">08 </w:t>
    </w:r>
  </w:p>
  <w:p w:rsidR="008F0222" w:rsidRDefault="008F0222">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D72A6"/>
    <w:multiLevelType w:val="hybridMultilevel"/>
    <w:tmpl w:val="2CC04E5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9D7"/>
    <w:rsid w:val="00001B77"/>
    <w:rsid w:val="0001082F"/>
    <w:rsid w:val="00035B3D"/>
    <w:rsid w:val="0005048E"/>
    <w:rsid w:val="00085FAB"/>
    <w:rsid w:val="00096439"/>
    <w:rsid w:val="000A4379"/>
    <w:rsid w:val="000E5154"/>
    <w:rsid w:val="000E7C9D"/>
    <w:rsid w:val="00111230"/>
    <w:rsid w:val="00114469"/>
    <w:rsid w:val="00136A05"/>
    <w:rsid w:val="00193B16"/>
    <w:rsid w:val="00197DBF"/>
    <w:rsid w:val="001D37C4"/>
    <w:rsid w:val="0020586A"/>
    <w:rsid w:val="0020603F"/>
    <w:rsid w:val="00215265"/>
    <w:rsid w:val="002529E2"/>
    <w:rsid w:val="002821F3"/>
    <w:rsid w:val="002A663A"/>
    <w:rsid w:val="002C4DC8"/>
    <w:rsid w:val="00386CE2"/>
    <w:rsid w:val="00397814"/>
    <w:rsid w:val="003A1811"/>
    <w:rsid w:val="003A5197"/>
    <w:rsid w:val="003B165B"/>
    <w:rsid w:val="003B48F3"/>
    <w:rsid w:val="003E2563"/>
    <w:rsid w:val="003E4639"/>
    <w:rsid w:val="003F18D0"/>
    <w:rsid w:val="00411971"/>
    <w:rsid w:val="00433235"/>
    <w:rsid w:val="004337AB"/>
    <w:rsid w:val="0045582A"/>
    <w:rsid w:val="00462020"/>
    <w:rsid w:val="0049163C"/>
    <w:rsid w:val="004B650A"/>
    <w:rsid w:val="004C0127"/>
    <w:rsid w:val="004C0391"/>
    <w:rsid w:val="004D7290"/>
    <w:rsid w:val="00506A8B"/>
    <w:rsid w:val="005158F2"/>
    <w:rsid w:val="005244E4"/>
    <w:rsid w:val="005304F7"/>
    <w:rsid w:val="005306A9"/>
    <w:rsid w:val="00551EB2"/>
    <w:rsid w:val="0056072E"/>
    <w:rsid w:val="00585615"/>
    <w:rsid w:val="005A30A3"/>
    <w:rsid w:val="005A64D2"/>
    <w:rsid w:val="005F1A13"/>
    <w:rsid w:val="005F4005"/>
    <w:rsid w:val="00621B94"/>
    <w:rsid w:val="006503F0"/>
    <w:rsid w:val="00665076"/>
    <w:rsid w:val="006661F6"/>
    <w:rsid w:val="00672595"/>
    <w:rsid w:val="006958D0"/>
    <w:rsid w:val="00697765"/>
    <w:rsid w:val="006F39D7"/>
    <w:rsid w:val="006F3A30"/>
    <w:rsid w:val="007208DE"/>
    <w:rsid w:val="00726E10"/>
    <w:rsid w:val="00730ED9"/>
    <w:rsid w:val="00765DB9"/>
    <w:rsid w:val="00766FEB"/>
    <w:rsid w:val="00771BAD"/>
    <w:rsid w:val="00772596"/>
    <w:rsid w:val="00790AD2"/>
    <w:rsid w:val="007A28F9"/>
    <w:rsid w:val="007B1B33"/>
    <w:rsid w:val="007B6C1C"/>
    <w:rsid w:val="007D3332"/>
    <w:rsid w:val="007D3D9C"/>
    <w:rsid w:val="007D4E6F"/>
    <w:rsid w:val="007F1D90"/>
    <w:rsid w:val="007F4682"/>
    <w:rsid w:val="007F7AC4"/>
    <w:rsid w:val="00801434"/>
    <w:rsid w:val="00812405"/>
    <w:rsid w:val="008360A5"/>
    <w:rsid w:val="0084783F"/>
    <w:rsid w:val="008518B6"/>
    <w:rsid w:val="008775FE"/>
    <w:rsid w:val="00881FCB"/>
    <w:rsid w:val="0088393B"/>
    <w:rsid w:val="00887E50"/>
    <w:rsid w:val="00897D4C"/>
    <w:rsid w:val="008F0222"/>
    <w:rsid w:val="00913F66"/>
    <w:rsid w:val="00915EED"/>
    <w:rsid w:val="0093109C"/>
    <w:rsid w:val="0093137E"/>
    <w:rsid w:val="00942980"/>
    <w:rsid w:val="00946DE1"/>
    <w:rsid w:val="00971C73"/>
    <w:rsid w:val="009B18FA"/>
    <w:rsid w:val="009C0FCA"/>
    <w:rsid w:val="00A12692"/>
    <w:rsid w:val="00A17244"/>
    <w:rsid w:val="00A1728C"/>
    <w:rsid w:val="00A56A00"/>
    <w:rsid w:val="00A60F9E"/>
    <w:rsid w:val="00A8321A"/>
    <w:rsid w:val="00A8693C"/>
    <w:rsid w:val="00AD5806"/>
    <w:rsid w:val="00AD7A34"/>
    <w:rsid w:val="00AE45AC"/>
    <w:rsid w:val="00AF20F6"/>
    <w:rsid w:val="00B264AB"/>
    <w:rsid w:val="00B35DB0"/>
    <w:rsid w:val="00B52D87"/>
    <w:rsid w:val="00B7721B"/>
    <w:rsid w:val="00B819B5"/>
    <w:rsid w:val="00B82D83"/>
    <w:rsid w:val="00B947C3"/>
    <w:rsid w:val="00BB51C2"/>
    <w:rsid w:val="00BE7363"/>
    <w:rsid w:val="00C26A83"/>
    <w:rsid w:val="00C57B12"/>
    <w:rsid w:val="00D01D35"/>
    <w:rsid w:val="00D10784"/>
    <w:rsid w:val="00D15727"/>
    <w:rsid w:val="00D462FE"/>
    <w:rsid w:val="00D5463F"/>
    <w:rsid w:val="00D6205E"/>
    <w:rsid w:val="00D64211"/>
    <w:rsid w:val="00D70C47"/>
    <w:rsid w:val="00D75804"/>
    <w:rsid w:val="00DB6239"/>
    <w:rsid w:val="00DC412D"/>
    <w:rsid w:val="00DD3460"/>
    <w:rsid w:val="00DE0564"/>
    <w:rsid w:val="00DE4D72"/>
    <w:rsid w:val="00E00B3A"/>
    <w:rsid w:val="00E06C40"/>
    <w:rsid w:val="00E07EF5"/>
    <w:rsid w:val="00E20312"/>
    <w:rsid w:val="00E53187"/>
    <w:rsid w:val="00E81E55"/>
    <w:rsid w:val="00E9390B"/>
    <w:rsid w:val="00EC699E"/>
    <w:rsid w:val="00EC76BB"/>
    <w:rsid w:val="00EF3DF2"/>
    <w:rsid w:val="00F305BD"/>
    <w:rsid w:val="00F43280"/>
    <w:rsid w:val="00F45BAF"/>
    <w:rsid w:val="00F607F5"/>
    <w:rsid w:val="00F75E46"/>
    <w:rsid w:val="00FD0560"/>
    <w:rsid w:val="00FD2192"/>
    <w:rsid w:val="00FF3E0D"/>
  </w:rsids>
  <m:mathPr>
    <m:mathFont m:val="Cambria Math"/>
    <m:brkBin m:val="before"/>
    <m:brkBinSub m:val="--"/>
    <m:smallFrac/>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next w:val="Normal"/>
    <w:link w:val="Rubrik1Char"/>
    <w:uiPriority w:val="9"/>
    <w:qFormat/>
    <w:rsid w:val="007725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7725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8F02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6F39D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F39D7"/>
    <w:rPr>
      <w:rFonts w:ascii="Tahoma" w:hAnsi="Tahoma" w:cs="Tahoma"/>
      <w:sz w:val="16"/>
      <w:szCs w:val="16"/>
    </w:rPr>
  </w:style>
  <w:style w:type="paragraph" w:customStyle="1" w:styleId="Default">
    <w:name w:val="Default"/>
    <w:rsid w:val="003B48F3"/>
    <w:pPr>
      <w:autoSpaceDE w:val="0"/>
      <w:autoSpaceDN w:val="0"/>
      <w:adjustRightInd w:val="0"/>
      <w:spacing w:after="0" w:line="240" w:lineRule="auto"/>
    </w:pPr>
    <w:rPr>
      <w:rFonts w:ascii="Calibri" w:hAnsi="Calibri" w:cs="Calibri"/>
      <w:color w:val="000000"/>
      <w:sz w:val="24"/>
      <w:szCs w:val="24"/>
    </w:rPr>
  </w:style>
  <w:style w:type="character" w:styleId="Hyperlnk">
    <w:name w:val="Hyperlink"/>
    <w:basedOn w:val="Standardstycketeckensnitt"/>
    <w:uiPriority w:val="99"/>
    <w:unhideWhenUsed/>
    <w:rsid w:val="003B48F3"/>
    <w:rPr>
      <w:color w:val="0000FF" w:themeColor="hyperlink"/>
      <w:u w:val="single"/>
    </w:rPr>
  </w:style>
  <w:style w:type="character" w:customStyle="1" w:styleId="Rubrik1Char">
    <w:name w:val="Rubrik 1 Char"/>
    <w:basedOn w:val="Standardstycketeckensnitt"/>
    <w:link w:val="Rubrik1"/>
    <w:uiPriority w:val="9"/>
    <w:rsid w:val="00772596"/>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772596"/>
    <w:rPr>
      <w:rFonts w:asciiTheme="majorHAnsi" w:eastAsiaTheme="majorEastAsia" w:hAnsiTheme="majorHAnsi" w:cstheme="majorBidi"/>
      <w:b/>
      <w:bCs/>
      <w:color w:val="4F81BD" w:themeColor="accent1"/>
      <w:sz w:val="26"/>
      <w:szCs w:val="26"/>
    </w:rPr>
  </w:style>
  <w:style w:type="paragraph" w:styleId="Sidhuvud">
    <w:name w:val="header"/>
    <w:basedOn w:val="Normal"/>
    <w:link w:val="SidhuvudChar"/>
    <w:uiPriority w:val="99"/>
    <w:unhideWhenUsed/>
    <w:rsid w:val="00035B3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035B3D"/>
  </w:style>
  <w:style w:type="paragraph" w:styleId="Sidfot">
    <w:name w:val="footer"/>
    <w:basedOn w:val="Normal"/>
    <w:link w:val="SidfotChar"/>
    <w:uiPriority w:val="99"/>
    <w:unhideWhenUsed/>
    <w:rsid w:val="00035B3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035B3D"/>
  </w:style>
  <w:style w:type="paragraph" w:styleId="Fotnotstext">
    <w:name w:val="footnote text"/>
    <w:basedOn w:val="Normal"/>
    <w:link w:val="FotnotstextChar"/>
    <w:uiPriority w:val="99"/>
    <w:unhideWhenUsed/>
    <w:rsid w:val="00111230"/>
    <w:pPr>
      <w:spacing w:after="0" w:line="240" w:lineRule="auto"/>
    </w:pPr>
    <w:rPr>
      <w:sz w:val="20"/>
      <w:szCs w:val="20"/>
    </w:rPr>
  </w:style>
  <w:style w:type="character" w:customStyle="1" w:styleId="FotnotstextChar">
    <w:name w:val="Fotnotstext Char"/>
    <w:basedOn w:val="Standardstycketeckensnitt"/>
    <w:link w:val="Fotnotstext"/>
    <w:uiPriority w:val="99"/>
    <w:rsid w:val="00111230"/>
    <w:rPr>
      <w:sz w:val="20"/>
      <w:szCs w:val="20"/>
    </w:rPr>
  </w:style>
  <w:style w:type="character" w:styleId="Fotnotsreferens">
    <w:name w:val="footnote reference"/>
    <w:basedOn w:val="Standardstycketeckensnitt"/>
    <w:uiPriority w:val="99"/>
    <w:semiHidden/>
    <w:unhideWhenUsed/>
    <w:rsid w:val="00111230"/>
    <w:rPr>
      <w:vertAlign w:val="superscript"/>
    </w:rPr>
  </w:style>
  <w:style w:type="paragraph" w:styleId="Liststycke">
    <w:name w:val="List Paragraph"/>
    <w:basedOn w:val="Normal"/>
    <w:uiPriority w:val="34"/>
    <w:qFormat/>
    <w:rsid w:val="00726E10"/>
    <w:pPr>
      <w:ind w:left="720"/>
      <w:contextualSpacing/>
    </w:pPr>
  </w:style>
  <w:style w:type="character" w:customStyle="1" w:styleId="Rubrik3Char">
    <w:name w:val="Rubrik 3 Char"/>
    <w:basedOn w:val="Standardstycketeckensnitt"/>
    <w:link w:val="Rubrik3"/>
    <w:uiPriority w:val="9"/>
    <w:rsid w:val="008F0222"/>
    <w:rPr>
      <w:rFonts w:asciiTheme="majorHAnsi" w:eastAsiaTheme="majorEastAsia" w:hAnsiTheme="majorHAnsi" w:cstheme="majorBidi"/>
      <w:b/>
      <w:bCs/>
      <w:color w:val="4F81BD" w:themeColor="accent1"/>
    </w:rPr>
  </w:style>
  <w:style w:type="character" w:styleId="Sidnummer">
    <w:name w:val="page number"/>
    <w:basedOn w:val="Standardstycketeckensnitt"/>
    <w:uiPriority w:val="99"/>
    <w:semiHidden/>
    <w:unhideWhenUsed/>
    <w:rsid w:val="007F46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next w:val="Normal"/>
    <w:link w:val="Rubrik1Char"/>
    <w:uiPriority w:val="9"/>
    <w:qFormat/>
    <w:rsid w:val="007725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7725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8F02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6F39D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F39D7"/>
    <w:rPr>
      <w:rFonts w:ascii="Tahoma" w:hAnsi="Tahoma" w:cs="Tahoma"/>
      <w:sz w:val="16"/>
      <w:szCs w:val="16"/>
    </w:rPr>
  </w:style>
  <w:style w:type="paragraph" w:customStyle="1" w:styleId="Default">
    <w:name w:val="Default"/>
    <w:rsid w:val="003B48F3"/>
    <w:pPr>
      <w:autoSpaceDE w:val="0"/>
      <w:autoSpaceDN w:val="0"/>
      <w:adjustRightInd w:val="0"/>
      <w:spacing w:after="0" w:line="240" w:lineRule="auto"/>
    </w:pPr>
    <w:rPr>
      <w:rFonts w:ascii="Calibri" w:hAnsi="Calibri" w:cs="Calibri"/>
      <w:color w:val="000000"/>
      <w:sz w:val="24"/>
      <w:szCs w:val="24"/>
    </w:rPr>
  </w:style>
  <w:style w:type="character" w:styleId="Hyperlnk">
    <w:name w:val="Hyperlink"/>
    <w:basedOn w:val="Standardstycketeckensnitt"/>
    <w:uiPriority w:val="99"/>
    <w:unhideWhenUsed/>
    <w:rsid w:val="003B48F3"/>
    <w:rPr>
      <w:color w:val="0000FF" w:themeColor="hyperlink"/>
      <w:u w:val="single"/>
    </w:rPr>
  </w:style>
  <w:style w:type="character" w:customStyle="1" w:styleId="Rubrik1Char">
    <w:name w:val="Rubrik 1 Char"/>
    <w:basedOn w:val="Standardstycketeckensnitt"/>
    <w:link w:val="Rubrik1"/>
    <w:uiPriority w:val="9"/>
    <w:rsid w:val="00772596"/>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772596"/>
    <w:rPr>
      <w:rFonts w:asciiTheme="majorHAnsi" w:eastAsiaTheme="majorEastAsia" w:hAnsiTheme="majorHAnsi" w:cstheme="majorBidi"/>
      <w:b/>
      <w:bCs/>
      <w:color w:val="4F81BD" w:themeColor="accent1"/>
      <w:sz w:val="26"/>
      <w:szCs w:val="26"/>
    </w:rPr>
  </w:style>
  <w:style w:type="paragraph" w:styleId="Sidhuvud">
    <w:name w:val="header"/>
    <w:basedOn w:val="Normal"/>
    <w:link w:val="SidhuvudChar"/>
    <w:uiPriority w:val="99"/>
    <w:unhideWhenUsed/>
    <w:rsid w:val="00035B3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035B3D"/>
  </w:style>
  <w:style w:type="paragraph" w:styleId="Sidfot">
    <w:name w:val="footer"/>
    <w:basedOn w:val="Normal"/>
    <w:link w:val="SidfotChar"/>
    <w:uiPriority w:val="99"/>
    <w:unhideWhenUsed/>
    <w:rsid w:val="00035B3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035B3D"/>
  </w:style>
  <w:style w:type="paragraph" w:styleId="Fotnotstext">
    <w:name w:val="footnote text"/>
    <w:basedOn w:val="Normal"/>
    <w:link w:val="FotnotstextChar"/>
    <w:uiPriority w:val="99"/>
    <w:unhideWhenUsed/>
    <w:rsid w:val="00111230"/>
    <w:pPr>
      <w:spacing w:after="0" w:line="240" w:lineRule="auto"/>
    </w:pPr>
    <w:rPr>
      <w:sz w:val="20"/>
      <w:szCs w:val="20"/>
    </w:rPr>
  </w:style>
  <w:style w:type="character" w:customStyle="1" w:styleId="FotnotstextChar">
    <w:name w:val="Fotnotstext Char"/>
    <w:basedOn w:val="Standardstycketeckensnitt"/>
    <w:link w:val="Fotnotstext"/>
    <w:uiPriority w:val="99"/>
    <w:rsid w:val="00111230"/>
    <w:rPr>
      <w:sz w:val="20"/>
      <w:szCs w:val="20"/>
    </w:rPr>
  </w:style>
  <w:style w:type="character" w:styleId="Fotnotsreferens">
    <w:name w:val="footnote reference"/>
    <w:basedOn w:val="Standardstycketeckensnitt"/>
    <w:uiPriority w:val="99"/>
    <w:semiHidden/>
    <w:unhideWhenUsed/>
    <w:rsid w:val="00111230"/>
    <w:rPr>
      <w:vertAlign w:val="superscript"/>
    </w:rPr>
  </w:style>
  <w:style w:type="paragraph" w:styleId="Liststycke">
    <w:name w:val="List Paragraph"/>
    <w:basedOn w:val="Normal"/>
    <w:uiPriority w:val="34"/>
    <w:qFormat/>
    <w:rsid w:val="00726E10"/>
    <w:pPr>
      <w:ind w:left="720"/>
      <w:contextualSpacing/>
    </w:pPr>
  </w:style>
  <w:style w:type="character" w:customStyle="1" w:styleId="Rubrik3Char">
    <w:name w:val="Rubrik 3 Char"/>
    <w:basedOn w:val="Standardstycketeckensnitt"/>
    <w:link w:val="Rubrik3"/>
    <w:uiPriority w:val="9"/>
    <w:rsid w:val="008F0222"/>
    <w:rPr>
      <w:rFonts w:asciiTheme="majorHAnsi" w:eastAsiaTheme="majorEastAsia" w:hAnsiTheme="majorHAnsi" w:cstheme="majorBidi"/>
      <w:b/>
      <w:bCs/>
      <w:color w:val="4F81BD" w:themeColor="accent1"/>
    </w:rPr>
  </w:style>
  <w:style w:type="character" w:styleId="Sidnummer">
    <w:name w:val="page number"/>
    <w:basedOn w:val="Standardstycketeckensnitt"/>
    <w:uiPriority w:val="99"/>
    <w:semiHidden/>
    <w:unhideWhenUsed/>
    <w:rsid w:val="007F4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9BB5D6-E1CD-45FD-9073-4CC12E66E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2156</Words>
  <Characters>11432</Characters>
  <Application>Microsoft Office Word</Application>
  <DocSecurity>0</DocSecurity>
  <Lines>95</Lines>
  <Paragraphs>27</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13561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2014-09-14T14:15:00Z</dcterms:created>
  <dcterms:modified xsi:type="dcterms:W3CDTF">2014-09-14T14:15:00Z</dcterms:modified>
</cp:coreProperties>
</file>